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66E1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0" w:afterAutospacing="0" w:line="576" w:lineRule="exact"/>
        <w:ind w:right="0"/>
        <w:jc w:val="both"/>
        <w:rPr>
          <w:rFonts w:hint="eastAsia" w:ascii="方正黑体_GBK" w:hAnsi="方正黑体_GBK" w:eastAsia="方正黑体_GBK" w:cs="方正黑体_GBK"/>
          <w:i w:val="0"/>
          <w:iCs w:val="0"/>
          <w:caps w:val="0"/>
          <w:color w:val="333333"/>
          <w:spacing w:val="0"/>
          <w:sz w:val="32"/>
          <w:szCs w:val="32"/>
          <w:shd w:val="clear" w:color="auto" w:fill="FFFFFF"/>
          <w:lang w:val="en-US" w:eastAsia="zh-CN"/>
        </w:rPr>
      </w:pPr>
      <w:bookmarkStart w:id="0" w:name="_GoBack"/>
      <w:bookmarkEnd w:id="0"/>
      <w:r>
        <w:rPr>
          <w:rFonts w:hint="eastAsia" w:ascii="方正黑体_GBK" w:hAnsi="方正黑体_GBK" w:eastAsia="方正黑体_GBK" w:cs="方正黑体_GBK"/>
          <w:i w:val="0"/>
          <w:iCs w:val="0"/>
          <w:caps w:val="0"/>
          <w:color w:val="333333"/>
          <w:spacing w:val="0"/>
          <w:sz w:val="32"/>
          <w:szCs w:val="32"/>
          <w:shd w:val="clear" w:color="auto" w:fill="FFFFFF"/>
          <w:lang w:val="en-US" w:eastAsia="zh-CN"/>
        </w:rPr>
        <w:t>附件2</w:t>
      </w:r>
    </w:p>
    <w:p w14:paraId="4D8DDB9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jc w:val="center"/>
        <w:textAlignment w:val="auto"/>
        <w:rPr>
          <w:rFonts w:hint="default" w:ascii="Times New Roman" w:hAnsi="Times New Roman" w:eastAsia="方正小标宋_GBK" w:cs="Times New Roman"/>
          <w:i w:val="0"/>
          <w:iCs w:val="0"/>
          <w:caps w:val="0"/>
          <w:color w:val="333333"/>
          <w:spacing w:val="0"/>
          <w:sz w:val="44"/>
          <w:szCs w:val="44"/>
          <w:shd w:val="clear" w:color="auto" w:fill="FFFFFF"/>
          <w:lang w:eastAsia="zh-CN"/>
        </w:rPr>
      </w:pPr>
      <w:r>
        <w:rPr>
          <w:rFonts w:hint="default" w:ascii="Times New Roman" w:hAnsi="Times New Roman" w:eastAsia="方正小标宋_GBK" w:cs="Times New Roman"/>
          <w:i w:val="0"/>
          <w:iCs w:val="0"/>
          <w:caps w:val="0"/>
          <w:color w:val="333333"/>
          <w:spacing w:val="0"/>
          <w:sz w:val="44"/>
          <w:szCs w:val="44"/>
          <w:shd w:val="clear" w:color="auto" w:fill="FFFFFF"/>
          <w:lang w:eastAsia="zh-CN"/>
        </w:rPr>
        <w:t>拉萨</w:t>
      </w:r>
      <w:r>
        <w:rPr>
          <w:rFonts w:hint="default" w:ascii="Times New Roman" w:hAnsi="Times New Roman" w:eastAsia="方正小标宋_GBK" w:cs="Times New Roman"/>
          <w:i w:val="0"/>
          <w:iCs w:val="0"/>
          <w:caps w:val="0"/>
          <w:color w:val="333333"/>
          <w:spacing w:val="0"/>
          <w:sz w:val="44"/>
          <w:szCs w:val="44"/>
          <w:shd w:val="clear" w:color="auto" w:fill="FFFFFF"/>
        </w:rPr>
        <w:t>市公共资源交易</w:t>
      </w:r>
      <w:r>
        <w:rPr>
          <w:rFonts w:hint="default" w:ascii="Times New Roman" w:hAnsi="Times New Roman" w:eastAsia="方正小标宋_GBK" w:cs="Times New Roman"/>
          <w:i w:val="0"/>
          <w:iCs w:val="0"/>
          <w:caps w:val="0"/>
          <w:color w:val="333333"/>
          <w:spacing w:val="0"/>
          <w:sz w:val="44"/>
          <w:szCs w:val="44"/>
          <w:u w:val="none"/>
          <w:shd w:val="clear" w:color="auto" w:fill="FFFFFF"/>
          <w:lang w:val="en-US" w:eastAsia="zh-CN"/>
        </w:rPr>
        <w:t>中介</w:t>
      </w:r>
      <w:r>
        <w:rPr>
          <w:rFonts w:hint="default" w:ascii="Times New Roman" w:hAnsi="Times New Roman" w:eastAsia="方正小标宋_GBK" w:cs="Times New Roman"/>
          <w:i w:val="0"/>
          <w:iCs w:val="0"/>
          <w:caps w:val="0"/>
          <w:color w:val="333333"/>
          <w:spacing w:val="0"/>
          <w:sz w:val="44"/>
          <w:szCs w:val="44"/>
          <w:shd w:val="clear" w:color="auto" w:fill="FFFFFF"/>
          <w:lang w:eastAsia="zh-CN"/>
        </w:rPr>
        <w:t>代理</w:t>
      </w:r>
    </w:p>
    <w:p w14:paraId="3B42287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jc w:val="center"/>
        <w:textAlignment w:val="auto"/>
        <w:rPr>
          <w:rFonts w:hint="default" w:ascii="Times New Roman" w:hAnsi="Times New Roman" w:eastAsia="华文中宋" w:cs="Times New Roman"/>
          <w:i w:val="0"/>
          <w:iCs w:val="0"/>
          <w:caps w:val="0"/>
          <w:color w:val="333333"/>
          <w:spacing w:val="0"/>
          <w:sz w:val="44"/>
          <w:szCs w:val="44"/>
        </w:rPr>
      </w:pPr>
      <w:r>
        <w:rPr>
          <w:rFonts w:hint="default" w:ascii="Times New Roman" w:hAnsi="Times New Roman" w:eastAsia="方正小标宋_GBK" w:cs="Times New Roman"/>
          <w:i w:val="0"/>
          <w:iCs w:val="0"/>
          <w:caps w:val="0"/>
          <w:color w:val="333333"/>
          <w:spacing w:val="0"/>
          <w:sz w:val="44"/>
          <w:szCs w:val="44"/>
          <w:shd w:val="clear" w:color="auto" w:fill="FFFFFF"/>
        </w:rPr>
        <w:t>机构综合评价管理办法</w:t>
      </w:r>
    </w:p>
    <w:p w14:paraId="017E78A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420"/>
        <w:jc w:val="center"/>
        <w:textAlignment w:val="auto"/>
        <w:rPr>
          <w:rFonts w:hint="default" w:ascii="Times New Roman" w:hAnsi="Times New Roman" w:eastAsia="方正黑体_GBK" w:cs="Times New Roman"/>
          <w:i w:val="0"/>
          <w:iCs w:val="0"/>
          <w:caps w:val="0"/>
          <w:color w:val="333333"/>
          <w:spacing w:val="0"/>
          <w:sz w:val="32"/>
          <w:szCs w:val="32"/>
        </w:rPr>
      </w:pPr>
      <w:r>
        <w:rPr>
          <w:rFonts w:hint="default" w:ascii="Times New Roman" w:hAnsi="Times New Roman" w:eastAsia="方正黑体_GBK" w:cs="Times New Roman"/>
          <w:i w:val="0"/>
          <w:iCs w:val="0"/>
          <w:caps w:val="0"/>
          <w:color w:val="333333"/>
          <w:spacing w:val="0"/>
          <w:sz w:val="32"/>
          <w:szCs w:val="32"/>
          <w:shd w:val="clear" w:color="auto" w:fill="FFFFFF"/>
        </w:rPr>
        <w:t> </w:t>
      </w:r>
    </w:p>
    <w:p w14:paraId="6D48B79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0"/>
        <w:jc w:val="center"/>
        <w:textAlignment w:val="auto"/>
        <w:rPr>
          <w:rFonts w:hint="default" w:ascii="Times New Roman" w:hAnsi="Times New Roman" w:eastAsia="方正黑体_GBK" w:cs="Times New Roman"/>
          <w:i w:val="0"/>
          <w:iCs w:val="0"/>
          <w:caps w:val="0"/>
          <w:color w:val="333333"/>
          <w:spacing w:val="0"/>
          <w:sz w:val="32"/>
          <w:szCs w:val="32"/>
        </w:rPr>
      </w:pPr>
      <w:r>
        <w:rPr>
          <w:rFonts w:hint="default" w:ascii="Times New Roman" w:hAnsi="Times New Roman" w:eastAsia="方正黑体_GBK" w:cs="Times New Roman"/>
          <w:i w:val="0"/>
          <w:iCs w:val="0"/>
          <w:caps w:val="0"/>
          <w:color w:val="333333"/>
          <w:spacing w:val="0"/>
          <w:sz w:val="32"/>
          <w:szCs w:val="32"/>
          <w:shd w:val="clear" w:color="auto" w:fill="FFFFFF"/>
        </w:rPr>
        <w:t>第一章  总则</w:t>
      </w:r>
    </w:p>
    <w:p w14:paraId="09D2C2F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color="auto" w:fill="FFFFFF"/>
          <w:lang w:eastAsia="zh-CN"/>
        </w:rPr>
      </w:pPr>
      <w:r>
        <w:rPr>
          <w:rFonts w:hint="default" w:ascii="Times New Roman" w:hAnsi="Times New Roman" w:eastAsia="仿宋_GB2312" w:cs="Times New Roman"/>
          <w:b/>
          <w:bCs/>
          <w:i w:val="0"/>
          <w:iCs w:val="0"/>
          <w:caps w:val="0"/>
          <w:color w:val="333333"/>
          <w:spacing w:val="0"/>
          <w:sz w:val="32"/>
          <w:szCs w:val="32"/>
          <w:shd w:val="clear" w:color="auto" w:fill="FFFFFF"/>
        </w:rPr>
        <w:t>第一条</w:t>
      </w:r>
      <w:r>
        <w:rPr>
          <w:rFonts w:hint="default" w:ascii="Times New Roman" w:hAnsi="Times New Roman" w:eastAsia="方正仿宋_GBK" w:cs="Times New Roman"/>
          <w:i w:val="0"/>
          <w:iCs w:val="0"/>
          <w:caps w:val="0"/>
          <w:color w:val="333333"/>
          <w:spacing w:val="0"/>
          <w:sz w:val="32"/>
          <w:szCs w:val="32"/>
          <w:shd w:val="clear" w:color="auto" w:fill="FFFFFF"/>
        </w:rPr>
        <w:t> 为</w:t>
      </w:r>
      <w:r>
        <w:rPr>
          <w:rFonts w:hint="default" w:ascii="Times New Roman" w:hAnsi="Times New Roman" w:eastAsia="方正仿宋_GBK" w:cs="Times New Roman"/>
          <w:i w:val="0"/>
          <w:iCs w:val="0"/>
          <w:caps w:val="0"/>
          <w:color w:val="333333"/>
          <w:spacing w:val="0"/>
          <w:sz w:val="32"/>
          <w:szCs w:val="32"/>
          <w:shd w:val="clear" w:color="auto" w:fill="FFFFFF"/>
          <w:lang w:eastAsia="zh-CN"/>
        </w:rPr>
        <w:t>进一步</w:t>
      </w:r>
      <w:r>
        <w:rPr>
          <w:rFonts w:hint="default" w:ascii="Times New Roman" w:hAnsi="Times New Roman" w:eastAsia="方正仿宋_GBK" w:cs="Times New Roman"/>
          <w:i w:val="0"/>
          <w:iCs w:val="0"/>
          <w:caps w:val="0"/>
          <w:color w:val="333333"/>
          <w:spacing w:val="0"/>
          <w:sz w:val="32"/>
          <w:szCs w:val="32"/>
          <w:shd w:val="clear" w:color="auto" w:fill="FFFFFF"/>
        </w:rPr>
        <w:t>加强公共资源交易</w:t>
      </w:r>
      <w:r>
        <w:rPr>
          <w:rFonts w:hint="default" w:ascii="Times New Roman" w:hAnsi="Times New Roman" w:eastAsia="方正仿宋_GBK" w:cs="Times New Roman"/>
          <w:i w:val="0"/>
          <w:iCs w:val="0"/>
          <w:caps w:val="0"/>
          <w:color w:val="333333"/>
          <w:spacing w:val="0"/>
          <w:sz w:val="32"/>
          <w:szCs w:val="32"/>
          <w:shd w:val="clear" w:color="auto" w:fill="FFFFFF"/>
          <w:lang w:eastAsia="zh-CN"/>
        </w:rPr>
        <w:t>领域中介</w:t>
      </w:r>
      <w:r>
        <w:rPr>
          <w:rFonts w:hint="default" w:ascii="Times New Roman" w:hAnsi="Times New Roman" w:eastAsia="方正仿宋_GBK" w:cs="Times New Roman"/>
          <w:i w:val="0"/>
          <w:iCs w:val="0"/>
          <w:caps w:val="0"/>
          <w:color w:val="333333"/>
          <w:spacing w:val="0"/>
          <w:sz w:val="32"/>
          <w:szCs w:val="32"/>
          <w:shd w:val="clear" w:color="auto" w:fill="FFFFFF"/>
        </w:rPr>
        <w:t>代理机构管理，维护</w:t>
      </w:r>
      <w:r>
        <w:rPr>
          <w:rFonts w:hint="default" w:ascii="Times New Roman" w:hAnsi="Times New Roman" w:eastAsia="方正仿宋_GBK" w:cs="Times New Roman"/>
          <w:i w:val="0"/>
          <w:iCs w:val="0"/>
          <w:caps w:val="0"/>
          <w:color w:val="333333"/>
          <w:spacing w:val="0"/>
          <w:sz w:val="32"/>
          <w:szCs w:val="32"/>
          <w:shd w:val="clear" w:color="auto" w:fill="FFFFFF"/>
          <w:lang w:eastAsia="zh-CN"/>
        </w:rPr>
        <w:t>规范透明的</w:t>
      </w:r>
      <w:r>
        <w:rPr>
          <w:rFonts w:hint="default" w:ascii="Times New Roman" w:hAnsi="Times New Roman" w:eastAsia="方正仿宋_GBK" w:cs="Times New Roman"/>
          <w:i w:val="0"/>
          <w:iCs w:val="0"/>
          <w:caps w:val="0"/>
          <w:color w:val="333333"/>
          <w:spacing w:val="0"/>
          <w:sz w:val="32"/>
          <w:szCs w:val="32"/>
          <w:shd w:val="clear" w:color="auto" w:fill="FFFFFF"/>
        </w:rPr>
        <w:t>交易市场秩序，提升</w:t>
      </w:r>
      <w:r>
        <w:rPr>
          <w:rFonts w:hint="default" w:ascii="Times New Roman" w:hAnsi="Times New Roman" w:eastAsia="方正仿宋_GBK" w:cs="Times New Roman"/>
          <w:i w:val="0"/>
          <w:iCs w:val="0"/>
          <w:caps w:val="0"/>
          <w:color w:val="333333"/>
          <w:spacing w:val="0"/>
          <w:sz w:val="32"/>
          <w:szCs w:val="32"/>
          <w:shd w:val="clear" w:color="auto" w:fill="FFFFFF"/>
          <w:lang w:eastAsia="zh-CN"/>
        </w:rPr>
        <w:t>中介</w:t>
      </w:r>
      <w:r>
        <w:rPr>
          <w:rFonts w:hint="default" w:ascii="Times New Roman" w:hAnsi="Times New Roman" w:eastAsia="方正仿宋_GBK" w:cs="Times New Roman"/>
          <w:i w:val="0"/>
          <w:iCs w:val="0"/>
          <w:caps w:val="0"/>
          <w:color w:val="333333"/>
          <w:spacing w:val="0"/>
          <w:sz w:val="32"/>
          <w:szCs w:val="32"/>
          <w:shd w:val="clear" w:color="auto" w:fill="FFFFFF"/>
        </w:rPr>
        <w:t>代理</w:t>
      </w:r>
      <w:r>
        <w:rPr>
          <w:rFonts w:hint="default" w:ascii="Times New Roman" w:hAnsi="Times New Roman" w:eastAsia="方正仿宋_GBK" w:cs="Times New Roman"/>
          <w:i w:val="0"/>
          <w:iCs w:val="0"/>
          <w:caps w:val="0"/>
          <w:color w:val="333333"/>
          <w:spacing w:val="0"/>
          <w:sz w:val="32"/>
          <w:szCs w:val="32"/>
          <w:shd w:val="clear" w:color="auto" w:fill="FFFFFF"/>
          <w:lang w:eastAsia="zh-CN"/>
        </w:rPr>
        <w:t>机构</w:t>
      </w:r>
      <w:r>
        <w:rPr>
          <w:rFonts w:hint="default" w:ascii="Times New Roman" w:hAnsi="Times New Roman" w:eastAsia="方正仿宋_GBK" w:cs="Times New Roman"/>
          <w:i w:val="0"/>
          <w:iCs w:val="0"/>
          <w:caps w:val="0"/>
          <w:color w:val="333333"/>
          <w:spacing w:val="0"/>
          <w:sz w:val="32"/>
          <w:szCs w:val="32"/>
          <w:shd w:val="clear" w:color="auto" w:fill="FFFFFF"/>
        </w:rPr>
        <w:t>服务水平和质量，依据《中华人民共和国招标投标法》《中华人民共和国政府采购法》等有关法律法规</w:t>
      </w:r>
      <w:r>
        <w:rPr>
          <w:rFonts w:hint="default" w:ascii="Times New Roman" w:hAnsi="Times New Roman" w:eastAsia="方正仿宋_GBK" w:cs="Times New Roman"/>
          <w:i w:val="0"/>
          <w:iCs w:val="0"/>
          <w:caps w:val="0"/>
          <w:color w:val="333333"/>
          <w:spacing w:val="0"/>
          <w:sz w:val="32"/>
          <w:szCs w:val="32"/>
          <w:shd w:val="clear" w:color="auto" w:fill="FFFFFF"/>
          <w:lang w:eastAsia="zh-CN"/>
        </w:rPr>
        <w:t>以及《国务院办公厅关于创新完善体制机制推动招标投标市场规范健康发展的意见》（国办发〔</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2024</w:t>
      </w:r>
      <w:r>
        <w:rPr>
          <w:rFonts w:hint="default" w:ascii="Times New Roman" w:hAnsi="Times New Roman" w:eastAsia="方正仿宋_GBK" w:cs="Times New Roman"/>
          <w:i w:val="0"/>
          <w:iCs w:val="0"/>
          <w:caps w:val="0"/>
          <w:color w:val="333333"/>
          <w:spacing w:val="0"/>
          <w:sz w:val="32"/>
          <w:szCs w:val="32"/>
          <w:shd w:val="clear" w:color="auto" w:fill="FFFFFF"/>
          <w:lang w:eastAsia="zh-CN"/>
        </w:rPr>
        <w:t>〕</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21号</w:t>
      </w:r>
      <w:r>
        <w:rPr>
          <w:rFonts w:hint="default" w:ascii="Times New Roman" w:hAnsi="Times New Roman" w:eastAsia="方正仿宋_GBK" w:cs="Times New Roman"/>
          <w:i w:val="0"/>
          <w:iCs w:val="0"/>
          <w:caps w:val="0"/>
          <w:color w:val="333333"/>
          <w:spacing w:val="0"/>
          <w:sz w:val="32"/>
          <w:szCs w:val="32"/>
          <w:shd w:val="clear" w:color="auto" w:fill="FFFFFF"/>
          <w:lang w:eastAsia="zh-CN"/>
        </w:rPr>
        <w:t>）的相关要求，</w:t>
      </w:r>
      <w:r>
        <w:rPr>
          <w:rFonts w:hint="default" w:ascii="Times New Roman" w:hAnsi="Times New Roman" w:eastAsia="方正仿宋_GBK" w:cs="Times New Roman"/>
          <w:i w:val="0"/>
          <w:iCs w:val="0"/>
          <w:caps w:val="0"/>
          <w:color w:val="333333"/>
          <w:spacing w:val="0"/>
          <w:sz w:val="32"/>
          <w:szCs w:val="32"/>
          <w:shd w:val="clear" w:color="auto" w:fill="FFFFFF"/>
        </w:rPr>
        <w:t>结合本市实际，制定本办法。</w:t>
      </w:r>
    </w:p>
    <w:p w14:paraId="4BE2F42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leftChars="0" w:right="0" w:firstLine="640" w:firstLineChars="0"/>
        <w:jc w:val="both"/>
        <w:textAlignment w:val="auto"/>
        <w:rPr>
          <w:rFonts w:hint="default" w:ascii="Times New Roman" w:hAnsi="Times New Roman" w:eastAsia="仿宋_GB2312" w:cs="Times New Roman"/>
          <w:i w:val="0"/>
          <w:iCs w:val="0"/>
          <w:caps w:val="0"/>
          <w:color w:val="333333"/>
          <w:spacing w:val="0"/>
          <w:sz w:val="32"/>
          <w:szCs w:val="32"/>
          <w:u w:val="none"/>
        </w:rPr>
      </w:pPr>
      <w:r>
        <w:rPr>
          <w:rFonts w:hint="default" w:ascii="Times New Roman" w:hAnsi="Times New Roman" w:eastAsia="仿宋_GB2312" w:cs="Times New Roman"/>
          <w:b/>
          <w:bCs/>
          <w:i w:val="0"/>
          <w:iCs w:val="0"/>
          <w:caps w:val="0"/>
          <w:color w:val="333333"/>
          <w:spacing w:val="0"/>
          <w:sz w:val="32"/>
          <w:szCs w:val="32"/>
          <w:shd w:val="clear" w:color="auto" w:fill="FFFFFF"/>
        </w:rPr>
        <w:t>第二条 </w:t>
      </w:r>
      <w:r>
        <w:rPr>
          <w:rFonts w:hint="default" w:ascii="Times New Roman" w:hAnsi="Times New Roman" w:eastAsia="方正仿宋_GBK" w:cs="Times New Roman"/>
          <w:i w:val="0"/>
          <w:iCs w:val="0"/>
          <w:caps w:val="0"/>
          <w:color w:val="333333"/>
          <w:spacing w:val="0"/>
          <w:sz w:val="32"/>
          <w:szCs w:val="32"/>
          <w:shd w:val="clear" w:color="auto" w:fill="FFFFFF"/>
        </w:rPr>
        <w:t>本办法适用于在</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拉萨市</w:t>
      </w:r>
      <w:r>
        <w:rPr>
          <w:rFonts w:hint="default" w:ascii="Times New Roman" w:hAnsi="Times New Roman" w:eastAsia="方正仿宋_GBK" w:cs="Times New Roman"/>
          <w:i w:val="0"/>
          <w:iCs w:val="0"/>
          <w:caps w:val="0"/>
          <w:color w:val="333333"/>
          <w:spacing w:val="0"/>
          <w:sz w:val="32"/>
          <w:szCs w:val="32"/>
          <w:shd w:val="clear" w:color="auto" w:fill="FFFFFF"/>
        </w:rPr>
        <w:t>行政区域内从事的工程建设、政府采购等公共资源交易项目代理活动的</w:t>
      </w:r>
      <w:r>
        <w:rPr>
          <w:rFonts w:hint="default" w:ascii="Times New Roman" w:hAnsi="Times New Roman" w:eastAsia="方正仿宋_GBK" w:cs="Times New Roman"/>
          <w:i w:val="0"/>
          <w:iCs w:val="0"/>
          <w:caps w:val="0"/>
          <w:color w:val="333333"/>
          <w:spacing w:val="0"/>
          <w:sz w:val="32"/>
          <w:szCs w:val="32"/>
          <w:shd w:val="clear" w:color="auto" w:fill="FFFFFF"/>
          <w:lang w:eastAsia="zh-CN"/>
        </w:rPr>
        <w:t>招标/政府采购代理</w:t>
      </w:r>
      <w:r>
        <w:rPr>
          <w:rFonts w:hint="default" w:ascii="Times New Roman" w:hAnsi="Times New Roman" w:eastAsia="方正仿宋_GBK" w:cs="Times New Roman"/>
          <w:i w:val="0"/>
          <w:iCs w:val="0"/>
          <w:caps w:val="0"/>
          <w:color w:val="333333"/>
          <w:spacing w:val="0"/>
          <w:sz w:val="32"/>
          <w:szCs w:val="32"/>
          <w:shd w:val="clear" w:color="auto" w:fill="FFFFFF"/>
        </w:rPr>
        <w:t>机构及从业人员。</w:t>
      </w:r>
    </w:p>
    <w:p w14:paraId="021DB1F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leftChars="0" w:right="0" w:firstLine="640" w:firstLineChars="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rPr>
      </w:pPr>
      <w:r>
        <w:rPr>
          <w:rFonts w:hint="default" w:ascii="Times New Roman" w:hAnsi="Times New Roman" w:eastAsia="仿宋_GB2312" w:cs="Times New Roman"/>
          <w:b/>
          <w:bCs/>
          <w:i w:val="0"/>
          <w:iCs w:val="0"/>
          <w:caps w:val="0"/>
          <w:color w:val="333333"/>
          <w:spacing w:val="0"/>
          <w:sz w:val="32"/>
          <w:szCs w:val="32"/>
          <w:shd w:val="clear" w:color="auto" w:fill="FFFFFF"/>
        </w:rPr>
        <w:t>第三条 </w:t>
      </w:r>
      <w:r>
        <w:rPr>
          <w:rFonts w:hint="default" w:ascii="Times New Roman" w:hAnsi="Times New Roman" w:eastAsia="方正仿宋_GBK" w:cs="Times New Roman"/>
          <w:i w:val="0"/>
          <w:iCs w:val="0"/>
          <w:caps w:val="0"/>
          <w:color w:val="333333"/>
          <w:spacing w:val="0"/>
          <w:sz w:val="32"/>
          <w:szCs w:val="32"/>
          <w:shd w:val="clear" w:color="auto" w:fill="FFFFFF"/>
        </w:rPr>
        <w:t>本办法所称</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中介</w:t>
      </w:r>
      <w:r>
        <w:rPr>
          <w:rFonts w:hint="default" w:ascii="Times New Roman" w:hAnsi="Times New Roman" w:eastAsia="方正仿宋_GBK" w:cs="Times New Roman"/>
          <w:i w:val="0"/>
          <w:iCs w:val="0"/>
          <w:caps w:val="0"/>
          <w:color w:val="333333"/>
          <w:spacing w:val="0"/>
          <w:sz w:val="32"/>
          <w:szCs w:val="32"/>
          <w:shd w:val="clear" w:color="auto" w:fill="FFFFFF"/>
          <w:lang w:eastAsia="zh-CN"/>
        </w:rPr>
        <w:t>代理</w:t>
      </w:r>
      <w:r>
        <w:rPr>
          <w:rFonts w:hint="default" w:ascii="Times New Roman" w:hAnsi="Times New Roman" w:eastAsia="方正仿宋_GBK" w:cs="Times New Roman"/>
          <w:i w:val="0"/>
          <w:iCs w:val="0"/>
          <w:caps w:val="0"/>
          <w:color w:val="333333"/>
          <w:spacing w:val="0"/>
          <w:sz w:val="32"/>
          <w:szCs w:val="32"/>
          <w:shd w:val="clear" w:color="auto" w:fill="FFFFFF"/>
        </w:rPr>
        <w:t>机构（以下简称代理机构），是指</w:t>
      </w:r>
      <w:r>
        <w:rPr>
          <w:rFonts w:hint="default" w:ascii="Times New Roman" w:hAnsi="Times New Roman" w:eastAsia="方正仿宋_GBK" w:cs="Times New Roman"/>
          <w:i w:val="0"/>
          <w:iCs w:val="0"/>
          <w:caps w:val="0"/>
          <w:color w:val="333333"/>
          <w:spacing w:val="0"/>
          <w:sz w:val="32"/>
          <w:szCs w:val="32"/>
          <w:shd w:val="clear" w:color="auto" w:fill="FFFFFF"/>
          <w:lang w:eastAsia="zh-CN"/>
        </w:rPr>
        <w:t>市级以上政府设立的</w:t>
      </w:r>
      <w:r>
        <w:rPr>
          <w:rFonts w:hint="default" w:ascii="Times New Roman" w:hAnsi="Times New Roman" w:eastAsia="方正仿宋_GBK" w:cs="Times New Roman"/>
          <w:i w:val="0"/>
          <w:iCs w:val="0"/>
          <w:caps w:val="0"/>
          <w:color w:val="333333"/>
          <w:spacing w:val="0"/>
          <w:sz w:val="32"/>
          <w:szCs w:val="32"/>
          <w:shd w:val="clear" w:color="auto" w:fill="FFFFFF"/>
        </w:rPr>
        <w:t>集中采购机构以外</w:t>
      </w:r>
      <w:r>
        <w:rPr>
          <w:rFonts w:hint="default" w:ascii="Times New Roman" w:hAnsi="Times New Roman" w:eastAsia="方正仿宋_GBK" w:cs="Times New Roman"/>
          <w:i w:val="0"/>
          <w:iCs w:val="0"/>
          <w:caps w:val="0"/>
          <w:color w:val="333333"/>
          <w:spacing w:val="0"/>
          <w:sz w:val="32"/>
          <w:szCs w:val="32"/>
          <w:shd w:val="clear" w:color="auto" w:fill="FFFFFF"/>
          <w:lang w:eastAsia="zh-CN"/>
        </w:rPr>
        <w:t>，</w:t>
      </w:r>
      <w:r>
        <w:rPr>
          <w:rFonts w:hint="default" w:ascii="Times New Roman" w:hAnsi="Times New Roman" w:eastAsia="方正仿宋_GBK" w:cs="Times New Roman"/>
          <w:i w:val="0"/>
          <w:iCs w:val="0"/>
          <w:caps w:val="0"/>
          <w:color w:val="333333"/>
          <w:spacing w:val="0"/>
          <w:sz w:val="32"/>
          <w:szCs w:val="32"/>
          <w:shd w:val="clear" w:color="auto" w:fill="FFFFFF"/>
        </w:rPr>
        <w:t>依法设立的受项目单位委托从事公共资源交易项目</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招标和政府采购</w:t>
      </w:r>
      <w:r>
        <w:rPr>
          <w:rFonts w:hint="default" w:ascii="Times New Roman" w:hAnsi="Times New Roman" w:eastAsia="方正仿宋_GBK" w:cs="Times New Roman"/>
          <w:i w:val="0"/>
          <w:iCs w:val="0"/>
          <w:caps w:val="0"/>
          <w:color w:val="333333"/>
          <w:spacing w:val="0"/>
          <w:sz w:val="32"/>
          <w:szCs w:val="32"/>
          <w:shd w:val="clear" w:color="auto" w:fill="FFFFFF"/>
        </w:rPr>
        <w:t>代理业务的社会中介组织。</w:t>
      </w:r>
    </w:p>
    <w:p w14:paraId="0D6505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leftChars="0" w:right="0" w:firstLine="640" w:firstLineChars="0"/>
        <w:jc w:val="both"/>
        <w:textAlignment w:val="auto"/>
        <w:rPr>
          <w:rFonts w:hint="default" w:ascii="Times New Roman" w:hAnsi="Times New Roman" w:eastAsia="仿宋_GB2312" w:cs="Times New Roman"/>
          <w:i w:val="0"/>
          <w:iCs w:val="0"/>
          <w:caps w:val="0"/>
          <w:color w:val="333333"/>
          <w:spacing w:val="0"/>
          <w:sz w:val="32"/>
          <w:szCs w:val="32"/>
          <w:shd w:val="clear" w:color="auto" w:fill="FFFFFF"/>
        </w:rPr>
      </w:pPr>
      <w:r>
        <w:rPr>
          <w:rFonts w:hint="default" w:ascii="Times New Roman" w:hAnsi="Times New Roman" w:eastAsia="方正仿宋_GBK" w:cs="Times New Roman"/>
          <w:i w:val="0"/>
          <w:iCs w:val="0"/>
          <w:caps w:val="0"/>
          <w:color w:val="333333"/>
          <w:spacing w:val="0"/>
          <w:sz w:val="32"/>
          <w:szCs w:val="32"/>
          <w:shd w:val="clear" w:color="auto" w:fill="FFFFFF"/>
        </w:rPr>
        <w:t xml:space="preserve">本办法所称从业人员，是指代理机构中专职从事招标代理业务的人员，包括项目负责人和其他专职从业人员。 </w:t>
      </w:r>
      <w:r>
        <w:rPr>
          <w:rFonts w:hint="default" w:ascii="Times New Roman" w:hAnsi="Times New Roman" w:eastAsia="仿宋_GB2312" w:cs="Times New Roman"/>
          <w:i w:val="0"/>
          <w:iCs w:val="0"/>
          <w:caps w:val="0"/>
          <w:color w:val="333333"/>
          <w:spacing w:val="0"/>
          <w:sz w:val="32"/>
          <w:szCs w:val="32"/>
          <w:shd w:val="clear" w:color="auto" w:fill="FFFFFF"/>
        </w:rPr>
        <w:t>  </w:t>
      </w:r>
    </w:p>
    <w:p w14:paraId="59E04A19">
      <w:pPr>
        <w:pStyle w:val="2"/>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代理机构应按照《拉萨市政务服务中介机构管理办法》，</w:t>
      </w:r>
      <w:r>
        <w:rPr>
          <w:rFonts w:hint="default" w:ascii="Times New Roman" w:hAnsi="Times New Roman" w:eastAsia="方正仿宋_GBK" w:cs="Times New Roman"/>
          <w:sz w:val="32"/>
          <w:szCs w:val="32"/>
          <w:lang w:val="en-US" w:eastAsia="zh-CN"/>
        </w:rPr>
        <w:t>接受拉萨市行业监管部门统一管理。</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本办法所指</w:t>
      </w:r>
      <w:r>
        <w:rPr>
          <w:rFonts w:hint="default" w:ascii="Times New Roman" w:hAnsi="Times New Roman" w:eastAsia="方正仿宋_GBK" w:cs="Times New Roman"/>
          <w:sz w:val="32"/>
          <w:szCs w:val="32"/>
          <w:lang w:val="en-US" w:eastAsia="zh-CN"/>
        </w:rPr>
        <w:t>行业监管部门（单位）是《国务院办公厅印发国务院有关部门实施招标投标活动行政监督的职责分工意见的通知》（国办发[2000]34号）中按照行业分工规定的住建、交通、水利、林草、信息化等部门</w:t>
      </w:r>
      <w:r>
        <w:rPr>
          <w:rFonts w:hint="default" w:ascii="Times New Roman" w:hAnsi="Times New Roman" w:eastAsia="方正仿宋_GBK" w:cs="Times New Roman"/>
          <w:sz w:val="32"/>
          <w:szCs w:val="32"/>
          <w:u w:val="none"/>
          <w:lang w:val="en-US" w:eastAsia="zh-CN"/>
        </w:rPr>
        <w:t>以及</w:t>
      </w:r>
      <w:r>
        <w:rPr>
          <w:rFonts w:hint="default" w:ascii="Times New Roman" w:hAnsi="Times New Roman" w:eastAsia="方正仿宋_GBK" w:cs="Times New Roman"/>
          <w:sz w:val="32"/>
          <w:szCs w:val="32"/>
          <w:u w:val="none"/>
        </w:rPr>
        <w:t>《中华人民共和国政府采购法》</w:t>
      </w:r>
      <w:r>
        <w:rPr>
          <w:rFonts w:hint="default" w:ascii="Times New Roman" w:hAnsi="Times New Roman" w:eastAsia="方正仿宋_GBK" w:cs="Times New Roman"/>
          <w:sz w:val="32"/>
          <w:szCs w:val="32"/>
          <w:u w:val="none"/>
          <w:lang w:val="en-US" w:eastAsia="zh-CN"/>
        </w:rPr>
        <w:t>明确的财政部门。</w:t>
      </w:r>
    </w:p>
    <w:p w14:paraId="0B5E89C4">
      <w:pPr>
        <w:pStyle w:val="2"/>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拉萨市行政审批和便民服务局（以下简称市行审局）负责拉萨市行政区域内执业的中介代理机构日常管理，组织代理机构在拉萨市一体化政务服务平台中介超市子系统上登记备案、信息公示；协助招标人或采购人、行业监管部门运用评价结果；按照《拉萨市招标投标责任主体负面清单行为及处置措施》开展交易场所内行为监管。</w:t>
      </w:r>
    </w:p>
    <w:p w14:paraId="5310104D">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rightChars="0"/>
        <w:jc w:val="both"/>
        <w:textAlignment w:val="auto"/>
        <w:rPr>
          <w:rFonts w:hint="default" w:ascii="Times New Roman" w:hAnsi="Times New Roman" w:eastAsia="仿宋" w:cs="Times New Roman"/>
          <w:sz w:val="32"/>
          <w:szCs w:val="32"/>
          <w:lang w:val="en-US" w:eastAsia="zh-CN"/>
        </w:rPr>
      </w:pPr>
    </w:p>
    <w:p w14:paraId="19F1292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jc w:val="center"/>
        <w:textAlignment w:val="auto"/>
        <w:rPr>
          <w:rFonts w:hint="default" w:ascii="Times New Roman" w:hAnsi="Times New Roman" w:eastAsia="方正黑体_GBK" w:cs="Times New Roman"/>
          <w:i w:val="0"/>
          <w:iCs w:val="0"/>
          <w:caps w:val="0"/>
          <w:color w:val="333333"/>
          <w:spacing w:val="0"/>
          <w:sz w:val="32"/>
          <w:szCs w:val="32"/>
        </w:rPr>
      </w:pPr>
      <w:r>
        <w:rPr>
          <w:rFonts w:hint="default" w:ascii="Times New Roman" w:hAnsi="Times New Roman" w:eastAsia="方正黑体_GBK" w:cs="Times New Roman"/>
          <w:i w:val="0"/>
          <w:iCs w:val="0"/>
          <w:caps w:val="0"/>
          <w:color w:val="333333"/>
          <w:spacing w:val="0"/>
          <w:sz w:val="32"/>
          <w:szCs w:val="32"/>
          <w:shd w:val="clear" w:color="auto" w:fill="FFFFFF"/>
        </w:rPr>
        <w:t>第二章 从业管理</w:t>
      </w:r>
    </w:p>
    <w:p w14:paraId="446A50C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32"/>
          <w:szCs w:val="32"/>
          <w:shd w:val="clear" w:color="auto" w:fill="FFFFFF"/>
          <w:lang w:eastAsia="zh-CN"/>
        </w:rPr>
        <w:t>第</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六</w:t>
      </w:r>
      <w:r>
        <w:rPr>
          <w:rFonts w:hint="default" w:ascii="Times New Roman" w:hAnsi="Times New Roman" w:eastAsia="仿宋_GB2312" w:cs="Times New Roman"/>
          <w:b/>
          <w:bCs/>
          <w:i w:val="0"/>
          <w:iCs w:val="0"/>
          <w:caps w:val="0"/>
          <w:color w:val="333333"/>
          <w:spacing w:val="0"/>
          <w:sz w:val="32"/>
          <w:szCs w:val="32"/>
          <w:shd w:val="clear" w:color="auto" w:fill="FFFFFF"/>
          <w:lang w:eastAsia="zh-CN"/>
        </w:rPr>
        <w:t>条 </w:t>
      </w:r>
      <w:r>
        <w:rPr>
          <w:rFonts w:hint="default" w:ascii="Times New Roman" w:hAnsi="Times New Roman" w:eastAsia="方正仿宋_GBK" w:cs="Times New Roman"/>
          <w:sz w:val="32"/>
          <w:szCs w:val="32"/>
          <w:lang w:val="en-US" w:eastAsia="zh-CN"/>
        </w:rPr>
        <w:t>代理机构从事中介代理业务应当具有与代理业务相应的从业人员，建立完善的内部监督管理制度，恪守职业道德，自觉遵守公共资源交易中心的各项管理制度，依法依规开展公共资源交易活动。</w:t>
      </w:r>
    </w:p>
    <w:p w14:paraId="0205FD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i w:val="0"/>
          <w:iCs w:val="0"/>
          <w:caps w:val="0"/>
          <w:color w:val="333333"/>
          <w:spacing w:val="0"/>
          <w:sz w:val="32"/>
          <w:szCs w:val="32"/>
          <w:shd w:val="clear" w:color="auto" w:fill="FFFFFF"/>
        </w:rPr>
        <w:t>第</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七</w:t>
      </w:r>
      <w:r>
        <w:rPr>
          <w:rFonts w:hint="default" w:ascii="Times New Roman" w:hAnsi="Times New Roman" w:eastAsia="仿宋_GB2312" w:cs="Times New Roman"/>
          <w:b/>
          <w:bCs/>
          <w:i w:val="0"/>
          <w:iCs w:val="0"/>
          <w:caps w:val="0"/>
          <w:color w:val="333333"/>
          <w:spacing w:val="0"/>
          <w:sz w:val="32"/>
          <w:szCs w:val="32"/>
          <w:shd w:val="clear" w:color="auto" w:fill="FFFFFF"/>
        </w:rPr>
        <w:t>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sz w:val="32"/>
          <w:szCs w:val="32"/>
          <w:lang w:val="en-US" w:eastAsia="zh-CN"/>
        </w:rPr>
        <w:t>代理机构在拉萨市公共资源交易中心从事中介代理活动应当在拉萨市中介超市进行登记、公示，按要求填报相关信息，并对信息的完整性、真实性、有效性、准确性、合法性承担责任。</w:t>
      </w:r>
    </w:p>
    <w:p w14:paraId="013090B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代理机构登记的信息发生变化的，应当及时在拉萨市中介超市自行更新。</w:t>
      </w:r>
    </w:p>
    <w:p w14:paraId="343D32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i w:val="0"/>
          <w:iCs w:val="0"/>
          <w:caps w:val="0"/>
          <w:color w:val="333333"/>
          <w:spacing w:val="0"/>
          <w:sz w:val="32"/>
          <w:szCs w:val="32"/>
          <w:shd w:val="clear" w:color="auto" w:fill="FFFFFF"/>
        </w:rPr>
        <w:t>第</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八</w:t>
      </w:r>
      <w:r>
        <w:rPr>
          <w:rFonts w:hint="default" w:ascii="Times New Roman" w:hAnsi="Times New Roman" w:eastAsia="仿宋_GB2312" w:cs="Times New Roman"/>
          <w:b/>
          <w:bCs/>
          <w:i w:val="0"/>
          <w:iCs w:val="0"/>
          <w:caps w:val="0"/>
          <w:color w:val="333333"/>
          <w:spacing w:val="0"/>
          <w:sz w:val="32"/>
          <w:szCs w:val="32"/>
          <w:shd w:val="clear" w:color="auto" w:fill="FFFFFF"/>
        </w:rPr>
        <w:t>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sz w:val="32"/>
          <w:szCs w:val="32"/>
          <w:lang w:val="en-US" w:eastAsia="zh-CN"/>
        </w:rPr>
        <w:t>代理机构应当依法依规与项目单位签订委托代理合同（协议），明确代理范围、项目负责人、权限、期限、档案保存、代理费用收取方式及标准、合同违约责任解除及终止、等具体事项。代理机构应当按合同（协议）约定开展代理业务。</w:t>
      </w:r>
    </w:p>
    <w:p w14:paraId="7F78B65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在拉萨执业的招标代理机构招标工作范围包括协助招标发布招标计划（政府采购意向）、编制工程量清单及招标控制价、组织开评标、合同订立、资料归档、异议质疑投诉处理等事前事中事后业务；政府采购代理机构工作范围包括接受采购人委托，从事政府采购货物、工程和服务的招标、竞争性谈判、询价等采购代理业务，以及政府采购咨询、培训等相关专业服务、合同订立、资料归档、异议质疑投诉处理等事前事中事后业务。接受上述委托事项的，应在代理合同（协议）中明确。</w:t>
      </w:r>
    </w:p>
    <w:p w14:paraId="290D248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仿宋_GB2312" w:cs="Times New Roman"/>
          <w:i w:val="0"/>
          <w:iCs w:val="0"/>
          <w:caps w:val="0"/>
          <w:color w:val="auto"/>
          <w:spacing w:val="0"/>
          <w:sz w:val="32"/>
          <w:szCs w:val="32"/>
          <w:u w:val="none"/>
        </w:rPr>
      </w:pPr>
      <w:r>
        <w:rPr>
          <w:rFonts w:hint="default" w:ascii="Times New Roman" w:hAnsi="Times New Roman" w:eastAsia="仿宋_GB2312" w:cs="Times New Roman"/>
          <w:b/>
          <w:bCs/>
          <w:i w:val="0"/>
          <w:iCs w:val="0"/>
          <w:caps w:val="0"/>
          <w:color w:val="auto"/>
          <w:spacing w:val="0"/>
          <w:sz w:val="32"/>
          <w:szCs w:val="32"/>
          <w:u w:val="none"/>
          <w:shd w:val="clear" w:color="auto" w:fill="FFFFFF"/>
        </w:rPr>
        <w:t>第</w:t>
      </w:r>
      <w:r>
        <w:rPr>
          <w:rFonts w:hint="default" w:ascii="Times New Roman" w:hAnsi="Times New Roman" w:eastAsia="仿宋_GB2312" w:cs="Times New Roman"/>
          <w:b/>
          <w:bCs/>
          <w:i w:val="0"/>
          <w:iCs w:val="0"/>
          <w:caps w:val="0"/>
          <w:color w:val="auto"/>
          <w:spacing w:val="0"/>
          <w:sz w:val="32"/>
          <w:szCs w:val="32"/>
          <w:u w:val="none"/>
          <w:shd w:val="clear" w:color="auto" w:fill="FFFFFF"/>
          <w:lang w:val="en-US" w:eastAsia="zh-CN"/>
        </w:rPr>
        <w:t>九</w:t>
      </w:r>
      <w:r>
        <w:rPr>
          <w:rFonts w:hint="default" w:ascii="Times New Roman" w:hAnsi="Times New Roman" w:eastAsia="仿宋_GB2312" w:cs="Times New Roman"/>
          <w:b/>
          <w:bCs/>
          <w:i w:val="0"/>
          <w:iCs w:val="0"/>
          <w:caps w:val="0"/>
          <w:color w:val="auto"/>
          <w:spacing w:val="0"/>
          <w:sz w:val="32"/>
          <w:szCs w:val="32"/>
          <w:u w:val="none"/>
          <w:shd w:val="clear" w:color="auto" w:fill="FFFFFF"/>
        </w:rPr>
        <w:t>条</w:t>
      </w:r>
      <w:r>
        <w:rPr>
          <w:rFonts w:hint="default" w:ascii="Times New Roman" w:hAnsi="Times New Roman" w:eastAsia="仿宋_GB2312" w:cs="Times New Roman"/>
          <w:i w:val="0"/>
          <w:iCs w:val="0"/>
          <w:caps w:val="0"/>
          <w:color w:val="auto"/>
          <w:spacing w:val="0"/>
          <w:sz w:val="32"/>
          <w:szCs w:val="32"/>
          <w:u w:val="none"/>
          <w:shd w:val="clear" w:color="auto" w:fill="FFFFFF"/>
        </w:rPr>
        <w:t> </w:t>
      </w:r>
      <w:r>
        <w:rPr>
          <w:rFonts w:hint="default" w:ascii="Times New Roman" w:hAnsi="Times New Roman" w:eastAsia="方正仿宋_GBK" w:cs="Times New Roman"/>
          <w:sz w:val="32"/>
          <w:szCs w:val="32"/>
          <w:lang w:val="en-US" w:eastAsia="zh-CN"/>
        </w:rPr>
        <w:t>代理机构不得故意提高收费标准或者降低服务质量，政府投资项目不得收取项目审批部门已批复代理费用之外的其他费用，政府采购项目不得收取代理合同约定之外的其他费用，不得向中标（成交）人转嫁无法定依据的费用。收取代理服务费时应当开具发票，不得以个人名义代收。</w:t>
      </w:r>
    </w:p>
    <w:p w14:paraId="595B8A8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lang w:eastAsia="zh-CN"/>
        </w:rPr>
        <w:t>招标文件</w:t>
      </w:r>
      <w:r>
        <w:rPr>
          <w:rFonts w:hint="default" w:ascii="Times New Roman" w:hAnsi="Times New Roman" w:eastAsia="方正仿宋_GBK" w:cs="Times New Roman"/>
          <w:i w:val="0"/>
          <w:iCs w:val="0"/>
          <w:caps w:val="0"/>
          <w:color w:val="333333"/>
          <w:spacing w:val="0"/>
          <w:sz w:val="32"/>
          <w:szCs w:val="32"/>
          <w:shd w:val="clear" w:color="auto" w:fill="FFFFFF"/>
        </w:rPr>
        <w:t>约定收费事项应当与代理合同（协议）一致。</w:t>
      </w:r>
    </w:p>
    <w:p w14:paraId="77C9983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32"/>
          <w:szCs w:val="32"/>
          <w:shd w:val="clear" w:color="auto" w:fill="FFFFFF"/>
        </w:rPr>
        <w:t>第十条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i w:val="0"/>
          <w:iCs w:val="0"/>
          <w:caps w:val="0"/>
          <w:color w:val="333333"/>
          <w:spacing w:val="0"/>
          <w:sz w:val="32"/>
          <w:szCs w:val="32"/>
          <w:shd w:val="clear" w:color="auto" w:fill="FFFFFF"/>
        </w:rPr>
        <w:t>代理机构及其从业人员在代理过程中发现存在弄虚作假、串通投标等违法违规情形的，应当及时向监管部门报告，并提供相关材料。</w:t>
      </w:r>
    </w:p>
    <w:p w14:paraId="22CCE4A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32"/>
          <w:szCs w:val="32"/>
          <w:shd w:val="clear" w:color="auto" w:fill="FFFFFF"/>
        </w:rPr>
        <w:t>第十</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一</w:t>
      </w:r>
      <w:r>
        <w:rPr>
          <w:rFonts w:hint="default" w:ascii="Times New Roman" w:hAnsi="Times New Roman" w:eastAsia="仿宋_GB2312" w:cs="Times New Roman"/>
          <w:b/>
          <w:bCs/>
          <w:i w:val="0"/>
          <w:iCs w:val="0"/>
          <w:caps w:val="0"/>
          <w:color w:val="333333"/>
          <w:spacing w:val="0"/>
          <w:sz w:val="32"/>
          <w:szCs w:val="32"/>
          <w:shd w:val="clear" w:color="auto" w:fill="FFFFFF"/>
        </w:rPr>
        <w:t>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i w:val="0"/>
          <w:iCs w:val="0"/>
          <w:caps w:val="0"/>
          <w:color w:val="333333"/>
          <w:spacing w:val="0"/>
          <w:sz w:val="32"/>
          <w:szCs w:val="32"/>
          <w:shd w:val="clear" w:color="auto" w:fill="FFFFFF"/>
        </w:rPr>
        <w:t>代理机构应当建立真实、完整的公共资源交易档案制度，妥善保管交易活动资料，不得伪造、变造、隐匿或者销毁</w:t>
      </w:r>
      <w:r>
        <w:rPr>
          <w:rFonts w:hint="default" w:ascii="Times New Roman" w:hAnsi="Times New Roman" w:eastAsia="方正仿宋_GBK" w:cs="Times New Roman"/>
          <w:i w:val="0"/>
          <w:iCs w:val="0"/>
          <w:caps w:val="0"/>
          <w:color w:val="333333"/>
          <w:spacing w:val="0"/>
          <w:sz w:val="32"/>
          <w:szCs w:val="32"/>
          <w:shd w:val="clear" w:color="auto" w:fill="FFFFFF"/>
          <w:lang w:eastAsia="zh-CN"/>
        </w:rPr>
        <w:t>招标文件</w:t>
      </w:r>
      <w:r>
        <w:rPr>
          <w:rFonts w:hint="default" w:ascii="Times New Roman" w:hAnsi="Times New Roman" w:eastAsia="方正仿宋_GBK" w:cs="Times New Roman"/>
          <w:i w:val="0"/>
          <w:iCs w:val="0"/>
          <w:caps w:val="0"/>
          <w:color w:val="333333"/>
          <w:spacing w:val="0"/>
          <w:sz w:val="32"/>
          <w:szCs w:val="32"/>
          <w:shd w:val="clear" w:color="auto" w:fill="FFFFFF"/>
        </w:rPr>
        <w:t>、视频音频及交易数据等资料。</w:t>
      </w:r>
    </w:p>
    <w:p w14:paraId="1B62903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0"/>
        <w:jc w:val="center"/>
        <w:textAlignment w:val="auto"/>
        <w:rPr>
          <w:rFonts w:hint="default" w:ascii="Times New Roman" w:hAnsi="Times New Roman" w:eastAsia="方正黑体_GBK" w:cs="Times New Roman"/>
          <w:i w:val="0"/>
          <w:iCs w:val="0"/>
          <w:caps w:val="0"/>
          <w:color w:val="333333"/>
          <w:spacing w:val="0"/>
          <w:sz w:val="32"/>
          <w:szCs w:val="32"/>
        </w:rPr>
      </w:pPr>
      <w:r>
        <w:rPr>
          <w:rFonts w:hint="default" w:ascii="Times New Roman" w:hAnsi="Times New Roman" w:eastAsia="方正黑体_GBK" w:cs="Times New Roman"/>
          <w:i w:val="0"/>
          <w:iCs w:val="0"/>
          <w:caps w:val="0"/>
          <w:color w:val="333333"/>
          <w:spacing w:val="0"/>
          <w:sz w:val="32"/>
          <w:szCs w:val="32"/>
          <w:shd w:val="clear" w:color="auto" w:fill="FFFFFF"/>
        </w:rPr>
        <w:t>第三章 综合评价</w:t>
      </w:r>
    </w:p>
    <w:p w14:paraId="7C332E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仿宋_GB2312" w:cs="Times New Roman"/>
          <w:i w:val="0"/>
          <w:iCs w:val="0"/>
          <w:caps w:val="0"/>
          <w:color w:val="333333"/>
          <w:spacing w:val="0"/>
          <w:sz w:val="32"/>
          <w:szCs w:val="32"/>
          <w:shd w:val="clear" w:color="auto" w:fill="FFFFFF"/>
        </w:rPr>
      </w:pPr>
      <w:r>
        <w:rPr>
          <w:rFonts w:hint="default" w:ascii="Times New Roman" w:hAnsi="Times New Roman" w:eastAsia="仿宋_GB2312" w:cs="Times New Roman"/>
          <w:b/>
          <w:bCs/>
          <w:i w:val="0"/>
          <w:iCs w:val="0"/>
          <w:caps w:val="0"/>
          <w:color w:val="333333"/>
          <w:spacing w:val="0"/>
          <w:sz w:val="32"/>
          <w:szCs w:val="32"/>
          <w:shd w:val="clear" w:color="auto" w:fill="FFFFFF"/>
        </w:rPr>
        <w:t>第</w:t>
      </w:r>
      <w:r>
        <w:rPr>
          <w:rFonts w:hint="default" w:ascii="Times New Roman" w:hAnsi="Times New Roman" w:eastAsia="仿宋_GB2312" w:cs="Times New Roman"/>
          <w:b/>
          <w:bCs/>
          <w:i w:val="0"/>
          <w:iCs w:val="0"/>
          <w:caps w:val="0"/>
          <w:color w:val="333333"/>
          <w:spacing w:val="0"/>
          <w:sz w:val="32"/>
          <w:szCs w:val="32"/>
          <w:shd w:val="clear" w:color="auto" w:fill="FFFFFF"/>
          <w:lang w:eastAsia="zh-CN"/>
        </w:rPr>
        <w:t>十二</w:t>
      </w:r>
      <w:r>
        <w:rPr>
          <w:rFonts w:hint="default" w:ascii="Times New Roman" w:hAnsi="Times New Roman" w:eastAsia="仿宋_GB2312" w:cs="Times New Roman"/>
          <w:b/>
          <w:bCs/>
          <w:i w:val="0"/>
          <w:iCs w:val="0"/>
          <w:caps w:val="0"/>
          <w:color w:val="333333"/>
          <w:spacing w:val="0"/>
          <w:sz w:val="32"/>
          <w:szCs w:val="32"/>
          <w:shd w:val="clear" w:color="auto" w:fill="FFFFFF"/>
        </w:rPr>
        <w:t>条 </w:t>
      </w:r>
      <w:r>
        <w:rPr>
          <w:rFonts w:hint="default" w:ascii="Times New Roman" w:hAnsi="Times New Roman" w:eastAsia="方正仿宋_GBK" w:cs="Times New Roman"/>
          <w:i w:val="0"/>
          <w:iCs w:val="0"/>
          <w:caps w:val="0"/>
          <w:color w:val="333333"/>
          <w:spacing w:val="0"/>
          <w:sz w:val="32"/>
          <w:szCs w:val="32"/>
          <w:shd w:val="clear" w:color="auto" w:fill="FFFFFF"/>
          <w:lang w:eastAsia="zh-CN"/>
        </w:rPr>
        <w:t>招投标过程中招标</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w:t>
      </w:r>
      <w:r>
        <w:rPr>
          <w:rFonts w:hint="default" w:ascii="Times New Roman" w:hAnsi="Times New Roman" w:eastAsia="方正仿宋_GBK" w:cs="Times New Roman"/>
          <w:i w:val="0"/>
          <w:iCs w:val="0"/>
          <w:caps w:val="0"/>
          <w:color w:val="333333"/>
          <w:spacing w:val="0"/>
          <w:sz w:val="32"/>
          <w:szCs w:val="32"/>
          <w:shd w:val="clear" w:color="auto" w:fill="FFFFFF"/>
          <w:lang w:eastAsia="zh-CN"/>
        </w:rPr>
        <w:t>采购人、行业监管部门应对代理机构执业能力水平进行统一评价，评价结果及时在拉萨市一体化政务服务平台中介超市子系统记录并予以公示。</w:t>
      </w:r>
    </w:p>
    <w:p w14:paraId="4F5B1B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32"/>
          <w:szCs w:val="32"/>
          <w:shd w:val="clear" w:color="auto" w:fill="FFFFFF"/>
        </w:rPr>
        <w:t>第</w:t>
      </w:r>
      <w:r>
        <w:rPr>
          <w:rFonts w:hint="default" w:ascii="Times New Roman" w:hAnsi="Times New Roman" w:eastAsia="仿宋_GB2312" w:cs="Times New Roman"/>
          <w:b/>
          <w:bCs/>
          <w:i w:val="0"/>
          <w:iCs w:val="0"/>
          <w:caps w:val="0"/>
          <w:color w:val="333333"/>
          <w:spacing w:val="0"/>
          <w:sz w:val="32"/>
          <w:szCs w:val="32"/>
          <w:shd w:val="clear" w:color="auto" w:fill="FFFFFF"/>
          <w:lang w:eastAsia="zh-CN"/>
        </w:rPr>
        <w:t>十三</w:t>
      </w:r>
      <w:r>
        <w:rPr>
          <w:rFonts w:hint="default" w:ascii="Times New Roman" w:hAnsi="Times New Roman" w:eastAsia="仿宋_GB2312" w:cs="Times New Roman"/>
          <w:b/>
          <w:bCs/>
          <w:i w:val="0"/>
          <w:iCs w:val="0"/>
          <w:caps w:val="0"/>
          <w:color w:val="333333"/>
          <w:spacing w:val="0"/>
          <w:sz w:val="32"/>
          <w:szCs w:val="32"/>
          <w:shd w:val="clear" w:color="auto" w:fill="FFFFFF"/>
        </w:rPr>
        <w:t>条 </w:t>
      </w:r>
      <w:r>
        <w:rPr>
          <w:rFonts w:hint="default" w:ascii="Times New Roman" w:hAnsi="Times New Roman" w:eastAsia="方正仿宋_GBK" w:cs="Times New Roman"/>
          <w:i w:val="0"/>
          <w:iCs w:val="0"/>
          <w:caps w:val="0"/>
          <w:color w:val="333333"/>
          <w:spacing w:val="0"/>
          <w:sz w:val="32"/>
          <w:szCs w:val="32"/>
          <w:shd w:val="clear" w:color="auto" w:fill="FFFFFF"/>
          <w:lang w:eastAsia="zh-CN"/>
        </w:rPr>
        <w:t>综合评价采取实时定量评价（一标一评）与综合动态定性评价（季度评价）相结合的方式。</w:t>
      </w:r>
    </w:p>
    <w:p w14:paraId="7B8DCE3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32"/>
          <w:szCs w:val="32"/>
          <w:shd w:val="clear" w:color="auto" w:fill="FFFFFF"/>
          <w:lang w:eastAsia="zh-CN"/>
        </w:rPr>
        <w:t>第十四条</w:t>
      </w:r>
      <w:r>
        <w:rPr>
          <w:rFonts w:hint="default" w:ascii="Times New Roman" w:hAnsi="Times New Roman" w:eastAsia="仿宋_GB2312" w:cs="Times New Roman"/>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lang w:eastAsia="zh-CN"/>
        </w:rPr>
        <w:t>从事代理业务的代理机构及其从业人员均应当接受评价，实行同值计分，从业人员评价计入代理机构，评价结果运用到拉萨市一体化政务服务平台中介超市。</w:t>
      </w:r>
    </w:p>
    <w:p w14:paraId="5C913A7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eastAsia="zh-CN"/>
        </w:rPr>
      </w:pPr>
      <w:r>
        <w:rPr>
          <w:rFonts w:hint="default" w:ascii="Times New Roman" w:hAnsi="Times New Roman" w:eastAsia="仿宋_GB2312" w:cs="Times New Roman"/>
          <w:b/>
          <w:bCs/>
          <w:i w:val="0"/>
          <w:iCs w:val="0"/>
          <w:caps w:val="0"/>
          <w:color w:val="333333"/>
          <w:spacing w:val="0"/>
          <w:sz w:val="32"/>
          <w:szCs w:val="32"/>
          <w:shd w:val="clear" w:color="auto" w:fill="FFFFFF"/>
          <w:lang w:eastAsia="zh-CN"/>
        </w:rPr>
        <w:t>第十五条</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招标/采购人、行业</w:t>
      </w:r>
      <w:r>
        <w:rPr>
          <w:rFonts w:hint="default" w:ascii="Times New Roman" w:hAnsi="Times New Roman" w:eastAsia="方正仿宋_GBK" w:cs="Times New Roman"/>
          <w:i w:val="0"/>
          <w:iCs w:val="0"/>
          <w:caps w:val="0"/>
          <w:color w:val="333333"/>
          <w:spacing w:val="0"/>
          <w:sz w:val="32"/>
          <w:szCs w:val="32"/>
          <w:shd w:val="clear" w:color="auto" w:fill="FFFFFF"/>
          <w:lang w:eastAsia="zh-CN"/>
        </w:rPr>
        <w:t>监管部门、</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市行审局应遵循有据可依、公平公正的原则，对照已发布的</w:t>
      </w:r>
      <w:r>
        <w:rPr>
          <w:rFonts w:hint="default" w:ascii="Times New Roman" w:hAnsi="Times New Roman" w:eastAsia="方正仿宋_GBK" w:cs="Times New Roman"/>
          <w:i w:val="0"/>
          <w:iCs w:val="0"/>
          <w:caps w:val="0"/>
          <w:color w:val="333333"/>
          <w:spacing w:val="0"/>
          <w:sz w:val="32"/>
          <w:szCs w:val="32"/>
          <w:shd w:val="clear" w:color="auto" w:fill="FFFFFF"/>
          <w:lang w:eastAsia="zh-CN"/>
        </w:rPr>
        <w:t>《公共资源交易招标代理机构</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综合评分表</w:t>
      </w:r>
      <w:r>
        <w:rPr>
          <w:rFonts w:hint="default" w:ascii="Times New Roman" w:hAnsi="Times New Roman" w:eastAsia="方正仿宋_GBK" w:cs="Times New Roman"/>
          <w:i w:val="0"/>
          <w:iCs w:val="0"/>
          <w:caps w:val="0"/>
          <w:color w:val="333333"/>
          <w:spacing w:val="0"/>
          <w:sz w:val="32"/>
          <w:szCs w:val="32"/>
          <w:shd w:val="clear" w:color="auto" w:fill="FFFFFF"/>
          <w:lang w:eastAsia="zh-CN"/>
        </w:rPr>
        <w:t>》对代理机构进行评价，</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并</w:t>
      </w:r>
      <w:r>
        <w:rPr>
          <w:rFonts w:hint="default" w:ascii="Times New Roman" w:hAnsi="Times New Roman" w:eastAsia="方正仿宋_GBK" w:cs="Times New Roman"/>
          <w:i w:val="0"/>
          <w:iCs w:val="0"/>
          <w:caps w:val="0"/>
          <w:color w:val="333333"/>
          <w:spacing w:val="0"/>
          <w:sz w:val="32"/>
          <w:szCs w:val="32"/>
          <w:shd w:val="clear" w:color="auto" w:fill="FFFFFF"/>
          <w:lang w:eastAsia="zh-CN"/>
        </w:rPr>
        <w:t>在</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单个项目招标周期结束后7个工作日内</w:t>
      </w:r>
      <w:r>
        <w:rPr>
          <w:rFonts w:hint="default" w:ascii="Times New Roman" w:hAnsi="Times New Roman" w:eastAsia="方正仿宋_GBK" w:cs="Times New Roman"/>
          <w:i w:val="0"/>
          <w:iCs w:val="0"/>
          <w:caps w:val="0"/>
          <w:color w:val="333333"/>
          <w:spacing w:val="0"/>
          <w:sz w:val="32"/>
          <w:szCs w:val="32"/>
          <w:shd w:val="clear" w:color="auto" w:fill="FFFFFF"/>
          <w:lang w:eastAsia="zh-CN"/>
        </w:rPr>
        <w:t>将综合评价</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表</w:t>
      </w:r>
      <w:r>
        <w:rPr>
          <w:rFonts w:hint="default" w:ascii="Times New Roman" w:hAnsi="Times New Roman" w:eastAsia="方正仿宋_GBK" w:cs="Times New Roman"/>
          <w:i w:val="0"/>
          <w:iCs w:val="0"/>
          <w:caps w:val="0"/>
          <w:color w:val="333333"/>
          <w:spacing w:val="0"/>
          <w:sz w:val="32"/>
          <w:szCs w:val="32"/>
          <w:shd w:val="clear" w:color="auto" w:fill="FFFFFF"/>
          <w:lang w:eastAsia="zh-CN"/>
        </w:rPr>
        <w:t>信息录入</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拉萨市一体化政务服务平台中介超市子系统</w:t>
      </w:r>
      <w:r>
        <w:rPr>
          <w:rFonts w:hint="default" w:ascii="Times New Roman" w:hAnsi="Times New Roman" w:eastAsia="方正仿宋_GBK" w:cs="Times New Roman"/>
          <w:i w:val="0"/>
          <w:iCs w:val="0"/>
          <w:caps w:val="0"/>
          <w:color w:val="333333"/>
          <w:spacing w:val="0"/>
          <w:sz w:val="32"/>
          <w:szCs w:val="32"/>
          <w:shd w:val="clear" w:color="auto" w:fill="FFFFFF"/>
          <w:lang w:eastAsia="zh-CN"/>
        </w:rPr>
        <w:t>。</w:t>
      </w:r>
    </w:p>
    <w:p w14:paraId="49A4FB2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32"/>
          <w:szCs w:val="32"/>
          <w:shd w:val="clear" w:color="auto" w:fill="FFFFFF"/>
        </w:rPr>
        <w:t>第十</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六</w:t>
      </w:r>
      <w:r>
        <w:rPr>
          <w:rFonts w:hint="default" w:ascii="Times New Roman" w:hAnsi="Times New Roman" w:eastAsia="仿宋_GB2312" w:cs="Times New Roman"/>
          <w:b/>
          <w:bCs/>
          <w:i w:val="0"/>
          <w:iCs w:val="0"/>
          <w:caps w:val="0"/>
          <w:color w:val="333333"/>
          <w:spacing w:val="0"/>
          <w:sz w:val="32"/>
          <w:szCs w:val="32"/>
          <w:shd w:val="clear" w:color="auto" w:fill="FFFFFF"/>
        </w:rPr>
        <w:t>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综合评价得分由基本情况、服务质量情况、履约行为情况等3个部分组成。</w:t>
      </w:r>
    </w:p>
    <w:p w14:paraId="448C147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color="auto" w:fill="FFFFFF"/>
        </w:rPr>
        <w:t>第十</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七</w:t>
      </w:r>
      <w:r>
        <w:rPr>
          <w:rFonts w:hint="default" w:ascii="Times New Roman" w:hAnsi="Times New Roman" w:eastAsia="仿宋_GB2312" w:cs="Times New Roman"/>
          <w:b/>
          <w:bCs/>
          <w:i w:val="0"/>
          <w:iCs w:val="0"/>
          <w:caps w:val="0"/>
          <w:color w:val="333333"/>
          <w:spacing w:val="0"/>
          <w:sz w:val="32"/>
          <w:szCs w:val="32"/>
          <w:shd w:val="clear" w:color="auto" w:fill="FFFFFF"/>
        </w:rPr>
        <w:t>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代理机构综合评价分为五个等级。综合评价总分为100分，90分以上的为五星级，80分以上不足90分的为四星级，70分以上不足80分的为三星级，60分以上不足70分的为二星级，低于60分的为一星级。</w:t>
      </w:r>
    </w:p>
    <w:p w14:paraId="5D649F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代理机构存在下列行为的，直接评为一星级，并将相关线索移送至公安机关：</w:t>
      </w:r>
    </w:p>
    <w:p w14:paraId="79B596F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（一）采取行贿、提供回扣或者输送不正当利益等非法手段承揽业务的；</w:t>
      </w:r>
    </w:p>
    <w:p w14:paraId="1703CD2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（二）存在虚假招标的；</w:t>
      </w:r>
    </w:p>
    <w:p w14:paraId="670BEF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（三）在公共资源交易过程中，指使、纵容、默许竞争主体串通投标的；</w:t>
      </w:r>
    </w:p>
    <w:p w14:paraId="17AE768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（四）与项目单位、竞争主体、评标（评审）委员会、公共资源交易中心相关人员等恶意串通投标的；</w:t>
      </w:r>
    </w:p>
    <w:p w14:paraId="27D9B0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（五）擅自修改、隐匿、销毁或者伪造、变造招标文件、交易数据等资料的；</w:t>
      </w:r>
    </w:p>
    <w:p w14:paraId="458B51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（六）存在其他类似行为的。</w:t>
      </w:r>
    </w:p>
    <w:p w14:paraId="50B5FB3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color="auto" w:fill="FFFFFF"/>
        </w:rPr>
        <w:t>第十</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八</w:t>
      </w:r>
      <w:r>
        <w:rPr>
          <w:rFonts w:hint="default" w:ascii="Times New Roman" w:hAnsi="Times New Roman" w:eastAsia="仿宋_GB2312" w:cs="Times New Roman"/>
          <w:b/>
          <w:bCs/>
          <w:i w:val="0"/>
          <w:iCs w:val="0"/>
          <w:caps w:val="0"/>
          <w:color w:val="333333"/>
          <w:spacing w:val="0"/>
          <w:sz w:val="32"/>
          <w:szCs w:val="32"/>
          <w:shd w:val="clear" w:color="auto" w:fill="FFFFFF"/>
        </w:rPr>
        <w:t>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代理机构在执业中涉及违规被行业监管部门通报的，在拉萨市一体化政务服务平台中介超市公示3个月；涉及违法违规被行业监管部门处罚的，在拉萨市一体化政务服务平台中介超市公示6个月。处罚有期限的公示期不少于处罚期限理，代理机构对综合评价结果有异议的，应自公告之日起5个工作日内向监管部门提出书面异议。逾期提出的，监管部门不予受理。</w:t>
      </w:r>
    </w:p>
    <w:p w14:paraId="33D151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监管部门、市行审局应当在7个工作日内核查有关信息记录情况并予以答复。</w:t>
      </w:r>
    </w:p>
    <w:p w14:paraId="687043A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0"/>
        <w:jc w:val="center"/>
        <w:textAlignment w:val="auto"/>
        <w:rPr>
          <w:rFonts w:hint="default" w:ascii="Times New Roman" w:hAnsi="Times New Roman" w:eastAsia="方正黑体_GBK" w:cs="Times New Roman"/>
          <w:i w:val="0"/>
          <w:iCs w:val="0"/>
          <w:caps w:val="0"/>
          <w:color w:val="333333"/>
          <w:spacing w:val="0"/>
          <w:sz w:val="32"/>
          <w:szCs w:val="32"/>
        </w:rPr>
      </w:pPr>
      <w:r>
        <w:rPr>
          <w:rFonts w:hint="default" w:ascii="Times New Roman" w:hAnsi="Times New Roman" w:eastAsia="方正黑体_GBK" w:cs="Times New Roman"/>
          <w:i w:val="0"/>
          <w:iCs w:val="0"/>
          <w:caps w:val="0"/>
          <w:color w:val="333333"/>
          <w:spacing w:val="0"/>
          <w:sz w:val="32"/>
          <w:szCs w:val="32"/>
          <w:shd w:val="clear" w:color="auto" w:fill="FFFFFF"/>
        </w:rPr>
        <w:t>第四章  监督管理</w:t>
      </w:r>
    </w:p>
    <w:p w14:paraId="5188061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color="auto" w:fill="FFFFFF"/>
          <w:lang w:eastAsia="zh-CN"/>
        </w:rPr>
        <w:t>第十九条</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行业监管部门、市行审局按照《拉萨市政府投资工程建设项目招标投标工作指导手册》负责对中介代理机构执业行为进行全过程监督，对代理机构入驻拉萨市一体化政务服务平台中介超市子系统申报的各类信息真实性、准确性进行核查。</w:t>
      </w:r>
    </w:p>
    <w:p w14:paraId="3F43A5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color="auto" w:fill="FFFFFF"/>
        </w:rPr>
        <w:t>第</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二十</w:t>
      </w:r>
      <w:r>
        <w:rPr>
          <w:rFonts w:hint="default" w:ascii="Times New Roman" w:hAnsi="Times New Roman" w:eastAsia="仿宋_GB2312" w:cs="Times New Roman"/>
          <w:b/>
          <w:bCs/>
          <w:i w:val="0"/>
          <w:iCs w:val="0"/>
          <w:caps w:val="0"/>
          <w:color w:val="333333"/>
          <w:spacing w:val="0"/>
          <w:sz w:val="32"/>
          <w:szCs w:val="32"/>
          <w:shd w:val="clear" w:color="auto" w:fill="FFFFFF"/>
        </w:rPr>
        <w:t>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支持综合评价结果在代理机构的事中事后监管等方面的应用，引导规范代理机构及其从业人员在代理活动中行为。</w:t>
      </w:r>
    </w:p>
    <w:p w14:paraId="5A60ACA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color="auto" w:fill="FFFFFF"/>
        </w:rPr>
        <w:t>第二十</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一</w:t>
      </w:r>
      <w:r>
        <w:rPr>
          <w:rFonts w:hint="default" w:ascii="Times New Roman" w:hAnsi="Times New Roman" w:eastAsia="仿宋_GB2312" w:cs="Times New Roman"/>
          <w:b/>
          <w:bCs/>
          <w:i w:val="0"/>
          <w:iCs w:val="0"/>
          <w:caps w:val="0"/>
          <w:color w:val="333333"/>
          <w:spacing w:val="0"/>
          <w:sz w:val="32"/>
          <w:szCs w:val="32"/>
          <w:shd w:val="clear" w:color="auto" w:fill="FFFFFF"/>
        </w:rPr>
        <w:t>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代理机构及其从业人员在代理活动中存在综合评价中不良行的，市行审局可视情况对代理机构进行约谈，向代理机构、项目单位发送工作提示函、建议书、风险提示单等。</w:t>
      </w:r>
    </w:p>
    <w:p w14:paraId="4CB36BA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方正仿宋_GBK" w:cs="Times New Roman"/>
          <w:i w:val="0"/>
          <w:iCs w:val="0"/>
          <w:caps w:val="0"/>
          <w:color w:val="333333"/>
          <w:spacing w:val="0"/>
          <w:sz w:val="32"/>
          <w:szCs w:val="32"/>
          <w:shd w:val="clear" w:color="auto" w:fill="FFFFFF"/>
          <w:lang w:val="en-US" w:eastAsia="zh-CN"/>
        </w:rPr>
      </w:pPr>
      <w:r>
        <w:rPr>
          <w:rFonts w:hint="default" w:ascii="Times New Roman" w:hAnsi="Times New Roman" w:eastAsia="仿宋_GB2312" w:cs="Times New Roman"/>
          <w:b/>
          <w:bCs/>
          <w:i w:val="0"/>
          <w:iCs w:val="0"/>
          <w:caps w:val="0"/>
          <w:color w:val="333333"/>
          <w:spacing w:val="0"/>
          <w:sz w:val="32"/>
          <w:szCs w:val="32"/>
          <w:shd w:val="clear" w:color="auto" w:fill="FFFFFF"/>
        </w:rPr>
        <w:t>第二十</w:t>
      </w:r>
      <w:r>
        <w:rPr>
          <w:rFonts w:hint="default" w:ascii="Times New Roman" w:hAnsi="Times New Roman" w:eastAsia="仿宋_GB2312" w:cs="Times New Roman"/>
          <w:b/>
          <w:bCs/>
          <w:i w:val="0"/>
          <w:iCs w:val="0"/>
          <w:caps w:val="0"/>
          <w:color w:val="333333"/>
          <w:spacing w:val="0"/>
          <w:sz w:val="32"/>
          <w:szCs w:val="32"/>
          <w:shd w:val="clear" w:color="auto" w:fill="FFFFFF"/>
          <w:lang w:eastAsia="zh-CN"/>
        </w:rPr>
        <w:t>二</w:t>
      </w:r>
      <w:r>
        <w:rPr>
          <w:rFonts w:hint="default" w:ascii="Times New Roman" w:hAnsi="Times New Roman" w:eastAsia="仿宋_GB2312" w:cs="Times New Roman"/>
          <w:b/>
          <w:bCs/>
          <w:i w:val="0"/>
          <w:iCs w:val="0"/>
          <w:caps w:val="0"/>
          <w:color w:val="333333"/>
          <w:spacing w:val="0"/>
          <w:sz w:val="32"/>
          <w:szCs w:val="32"/>
          <w:shd w:val="clear" w:color="auto" w:fill="FFFFFF"/>
        </w:rPr>
        <w:t>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i w:val="0"/>
          <w:iCs w:val="0"/>
          <w:caps w:val="0"/>
          <w:color w:val="333333"/>
          <w:spacing w:val="0"/>
          <w:sz w:val="32"/>
          <w:szCs w:val="32"/>
          <w:shd w:val="clear" w:color="auto" w:fill="FFFFFF"/>
        </w:rPr>
        <w:t>监</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管部门可根据综合评价等级实行差异化监管：</w:t>
      </w:r>
    </w:p>
    <w:p w14:paraId="7C404C5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42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（一）综合评价为</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三星</w:t>
      </w:r>
      <w:r>
        <w:rPr>
          <w:rFonts w:hint="default" w:ascii="Times New Roman" w:hAnsi="Times New Roman" w:eastAsia="方正仿宋_GBK" w:cs="Times New Roman"/>
          <w:i w:val="0"/>
          <w:iCs w:val="0"/>
          <w:caps w:val="0"/>
          <w:color w:val="333333"/>
          <w:spacing w:val="0"/>
          <w:sz w:val="32"/>
          <w:szCs w:val="32"/>
          <w:shd w:val="clear" w:color="auto" w:fill="FFFFFF"/>
        </w:rPr>
        <w:t>级</w:t>
      </w:r>
      <w:r>
        <w:rPr>
          <w:rFonts w:hint="default" w:ascii="Times New Roman" w:hAnsi="Times New Roman" w:eastAsia="方正仿宋_GBK" w:cs="Times New Roman"/>
          <w:i w:val="0"/>
          <w:iCs w:val="0"/>
          <w:caps w:val="0"/>
          <w:color w:val="333333"/>
          <w:spacing w:val="0"/>
          <w:sz w:val="32"/>
          <w:szCs w:val="32"/>
          <w:shd w:val="clear" w:color="auto" w:fill="FFFFFF"/>
          <w:lang w:eastAsia="zh-CN"/>
        </w:rPr>
        <w:t>及以下</w:t>
      </w:r>
      <w:r>
        <w:rPr>
          <w:rFonts w:hint="default" w:ascii="Times New Roman" w:hAnsi="Times New Roman" w:eastAsia="方正仿宋_GBK" w:cs="Times New Roman"/>
          <w:i w:val="0"/>
          <w:iCs w:val="0"/>
          <w:caps w:val="0"/>
          <w:color w:val="333333"/>
          <w:spacing w:val="0"/>
          <w:sz w:val="32"/>
          <w:szCs w:val="32"/>
          <w:shd w:val="clear" w:color="auto" w:fill="FFFFFF"/>
        </w:rPr>
        <w:t>的，列入监管重点对象，予以预警，对该机构负责人进行约谈；</w:t>
      </w:r>
    </w:p>
    <w:p w14:paraId="443854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42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（二）综合评价为</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二星</w:t>
      </w:r>
      <w:r>
        <w:rPr>
          <w:rFonts w:hint="default" w:ascii="Times New Roman" w:hAnsi="Times New Roman" w:eastAsia="方正仿宋_GBK" w:cs="Times New Roman"/>
          <w:i w:val="0"/>
          <w:iCs w:val="0"/>
          <w:caps w:val="0"/>
          <w:color w:val="333333"/>
          <w:spacing w:val="0"/>
          <w:sz w:val="32"/>
          <w:szCs w:val="32"/>
          <w:shd w:val="clear" w:color="auto" w:fill="FFFFFF"/>
        </w:rPr>
        <w:t>级</w:t>
      </w:r>
      <w:r>
        <w:rPr>
          <w:rFonts w:hint="default" w:ascii="Times New Roman" w:hAnsi="Times New Roman" w:eastAsia="方正仿宋_GBK" w:cs="Times New Roman"/>
          <w:i w:val="0"/>
          <w:iCs w:val="0"/>
          <w:caps w:val="0"/>
          <w:color w:val="333333"/>
          <w:spacing w:val="0"/>
          <w:sz w:val="32"/>
          <w:szCs w:val="32"/>
          <w:shd w:val="clear" w:color="auto" w:fill="FFFFFF"/>
          <w:lang w:eastAsia="zh-CN"/>
        </w:rPr>
        <w:t>及以下的，责令限期整改，整改不到位的，上报“信用拉萨”管理体系列为失信企业</w:t>
      </w:r>
      <w:r>
        <w:rPr>
          <w:rFonts w:hint="default" w:ascii="Times New Roman" w:hAnsi="Times New Roman" w:eastAsia="方正仿宋_GBK" w:cs="Times New Roman"/>
          <w:i w:val="0"/>
          <w:iCs w:val="0"/>
          <w:caps w:val="0"/>
          <w:color w:val="333333"/>
          <w:spacing w:val="0"/>
          <w:sz w:val="32"/>
          <w:szCs w:val="32"/>
          <w:shd w:val="clear" w:color="auto" w:fill="FFFFFF"/>
        </w:rPr>
        <w:t>；</w:t>
      </w:r>
    </w:p>
    <w:p w14:paraId="6CC8012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42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color="auto" w:fill="FFFFFF"/>
        </w:rPr>
        <w:t>（三）法律法规规定的其他监管措施。</w:t>
      </w:r>
    </w:p>
    <w:p w14:paraId="0E8FD8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32"/>
          <w:szCs w:val="32"/>
          <w:shd w:val="clear" w:color="auto" w:fill="FFFFFF"/>
        </w:rPr>
        <w:t>第二十</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三</w:t>
      </w:r>
      <w:r>
        <w:rPr>
          <w:rFonts w:hint="default" w:ascii="Times New Roman" w:hAnsi="Times New Roman" w:eastAsia="仿宋_GB2312" w:cs="Times New Roman"/>
          <w:b/>
          <w:bCs/>
          <w:i w:val="0"/>
          <w:iCs w:val="0"/>
          <w:caps w:val="0"/>
          <w:color w:val="333333"/>
          <w:spacing w:val="0"/>
          <w:sz w:val="32"/>
          <w:szCs w:val="32"/>
          <w:shd w:val="clear" w:color="auto" w:fill="FFFFFF"/>
        </w:rPr>
        <w:t>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i w:val="0"/>
          <w:iCs w:val="0"/>
          <w:caps w:val="0"/>
          <w:color w:val="333333"/>
          <w:spacing w:val="0"/>
          <w:sz w:val="32"/>
          <w:szCs w:val="32"/>
          <w:shd w:val="clear" w:color="auto" w:fill="FFFFFF"/>
        </w:rPr>
        <w:t>代理机构及其从业人员有违法违规行为，需实施行政处罚的，按照有关法律、法规和规章的规定进行行政处罚；涉嫌犯罪的，依法移送司法机关处理。</w:t>
      </w:r>
    </w:p>
    <w:p w14:paraId="008525F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32"/>
          <w:szCs w:val="32"/>
          <w:shd w:val="clear" w:color="auto" w:fill="FFFFFF"/>
        </w:rPr>
        <w:t>第二十</w:t>
      </w:r>
      <w:r>
        <w:rPr>
          <w:rFonts w:hint="default" w:ascii="Times New Roman" w:hAnsi="Times New Roman" w:eastAsia="仿宋_GB2312" w:cs="Times New Roman"/>
          <w:b/>
          <w:bCs/>
          <w:i w:val="0"/>
          <w:iCs w:val="0"/>
          <w:caps w:val="0"/>
          <w:color w:val="333333"/>
          <w:spacing w:val="0"/>
          <w:sz w:val="32"/>
          <w:szCs w:val="32"/>
          <w:shd w:val="clear" w:color="auto" w:fill="FFFFFF"/>
          <w:lang w:val="en-US" w:eastAsia="zh-CN"/>
        </w:rPr>
        <w:t>四</w:t>
      </w:r>
      <w:r>
        <w:rPr>
          <w:rFonts w:hint="default" w:ascii="Times New Roman" w:hAnsi="Times New Roman" w:eastAsia="仿宋_GB2312" w:cs="Times New Roman"/>
          <w:b/>
          <w:bCs/>
          <w:i w:val="0"/>
          <w:iCs w:val="0"/>
          <w:caps w:val="0"/>
          <w:color w:val="333333"/>
          <w:spacing w:val="0"/>
          <w:sz w:val="32"/>
          <w:szCs w:val="32"/>
          <w:shd w:val="clear" w:color="auto" w:fill="FFFFFF"/>
        </w:rPr>
        <w:t>条</w:t>
      </w:r>
      <w:r>
        <w:rPr>
          <w:rFonts w:hint="default" w:ascii="Times New Roman" w:hAnsi="Times New Roman" w:eastAsia="方正仿宋_GBK" w:cs="Times New Roman"/>
          <w:i w:val="0"/>
          <w:iCs w:val="0"/>
          <w:caps w:val="0"/>
          <w:color w:val="333333"/>
          <w:spacing w:val="0"/>
          <w:sz w:val="32"/>
          <w:szCs w:val="32"/>
          <w:shd w:val="clear" w:color="auto" w:fill="FFFFFF"/>
        </w:rPr>
        <w:t> 参与综合评价的</w:t>
      </w:r>
      <w:r>
        <w:rPr>
          <w:rFonts w:hint="default" w:ascii="Times New Roman" w:hAnsi="Times New Roman" w:eastAsia="方正仿宋_GBK" w:cs="Times New Roman"/>
          <w:i w:val="0"/>
          <w:iCs w:val="0"/>
          <w:caps w:val="0"/>
          <w:color w:val="333333"/>
          <w:spacing w:val="0"/>
          <w:sz w:val="32"/>
          <w:szCs w:val="32"/>
          <w:u w:val="none"/>
          <w:shd w:val="clear" w:color="auto" w:fill="FFFFFF"/>
          <w:lang w:val="en-US" w:eastAsia="zh-CN"/>
        </w:rPr>
        <w:t>招标/采购人、行业</w:t>
      </w:r>
      <w:r>
        <w:rPr>
          <w:rFonts w:hint="default" w:ascii="Times New Roman" w:hAnsi="Times New Roman" w:eastAsia="方正仿宋_GBK" w:cs="Times New Roman"/>
          <w:i w:val="0"/>
          <w:iCs w:val="0"/>
          <w:caps w:val="0"/>
          <w:color w:val="333333"/>
          <w:spacing w:val="0"/>
          <w:sz w:val="32"/>
          <w:szCs w:val="32"/>
          <w:u w:val="none"/>
          <w:shd w:val="clear" w:color="auto" w:fill="FFFFFF"/>
        </w:rPr>
        <w:t>监管部</w:t>
      </w:r>
      <w:r>
        <w:rPr>
          <w:rFonts w:hint="default" w:ascii="Times New Roman" w:hAnsi="Times New Roman" w:eastAsia="方正仿宋_GBK" w:cs="Times New Roman"/>
          <w:i w:val="0"/>
          <w:iCs w:val="0"/>
          <w:caps w:val="0"/>
          <w:color w:val="333333"/>
          <w:spacing w:val="0"/>
          <w:sz w:val="32"/>
          <w:szCs w:val="32"/>
          <w:shd w:val="clear" w:color="auto" w:fill="FFFFFF"/>
        </w:rPr>
        <w:t>门、</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市行审局</w:t>
      </w:r>
      <w:r>
        <w:rPr>
          <w:rFonts w:hint="default" w:ascii="Times New Roman" w:hAnsi="Times New Roman" w:eastAsia="方正仿宋_GBK" w:cs="Times New Roman"/>
          <w:i w:val="0"/>
          <w:iCs w:val="0"/>
          <w:caps w:val="0"/>
          <w:color w:val="333333"/>
          <w:spacing w:val="0"/>
          <w:sz w:val="32"/>
          <w:szCs w:val="32"/>
          <w:u w:val="none"/>
          <w:shd w:val="clear" w:color="auto" w:fill="FFFFFF"/>
        </w:rPr>
        <w:t>工作人员应坚持</w:t>
      </w:r>
      <w:r>
        <w:rPr>
          <w:rFonts w:hint="default" w:ascii="Times New Roman" w:hAnsi="Times New Roman" w:eastAsia="方正仿宋_GBK" w:cs="Times New Roman"/>
          <w:i w:val="0"/>
          <w:iCs w:val="0"/>
          <w:caps w:val="0"/>
          <w:color w:val="333333"/>
          <w:spacing w:val="0"/>
          <w:sz w:val="32"/>
          <w:szCs w:val="32"/>
          <w:shd w:val="clear" w:color="auto" w:fill="FFFFFF"/>
        </w:rPr>
        <w:t>客观公正原则，恪尽职守，不得徇私舞弊，以权谋私，在综合评价工作中有违法、违纪行为的，有关部门按照相关规定追究其责任。</w:t>
      </w:r>
    </w:p>
    <w:p w14:paraId="3630118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0"/>
        <w:jc w:val="center"/>
        <w:textAlignment w:val="auto"/>
        <w:rPr>
          <w:rFonts w:hint="default" w:ascii="Times New Roman" w:hAnsi="Times New Roman" w:eastAsia="方正黑体_GBK" w:cs="Times New Roman"/>
          <w:i w:val="0"/>
          <w:iCs w:val="0"/>
          <w:caps w:val="0"/>
          <w:color w:val="333333"/>
          <w:spacing w:val="0"/>
          <w:sz w:val="32"/>
          <w:szCs w:val="32"/>
        </w:rPr>
      </w:pPr>
      <w:r>
        <w:rPr>
          <w:rFonts w:hint="default" w:ascii="Times New Roman" w:hAnsi="Times New Roman" w:eastAsia="方正黑体_GBK" w:cs="Times New Roman"/>
          <w:i w:val="0"/>
          <w:iCs w:val="0"/>
          <w:caps w:val="0"/>
          <w:color w:val="333333"/>
          <w:spacing w:val="0"/>
          <w:sz w:val="32"/>
          <w:szCs w:val="32"/>
          <w:shd w:val="clear" w:color="auto" w:fill="FFFFFF"/>
        </w:rPr>
        <w:t>第五章 附则</w:t>
      </w:r>
    </w:p>
    <w:p w14:paraId="09953BE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32"/>
          <w:szCs w:val="32"/>
          <w:shd w:val="clear" w:color="auto" w:fill="FFFFFF"/>
        </w:rPr>
        <w:t>第二十五条</w:t>
      </w:r>
      <w:r>
        <w:rPr>
          <w:rFonts w:hint="default" w:ascii="Times New Roman" w:hAnsi="Times New Roman" w:eastAsia="方正仿宋_GBK" w:cs="Times New Roman"/>
          <w:i w:val="0"/>
          <w:iCs w:val="0"/>
          <w:caps w:val="0"/>
          <w:color w:val="333333"/>
          <w:spacing w:val="0"/>
          <w:sz w:val="32"/>
          <w:szCs w:val="32"/>
          <w:shd w:val="clear" w:color="auto" w:fill="FFFFFF"/>
        </w:rPr>
        <w:t> 国家法律法规和行业行政主管部门对代理机构管理另有规定的从其规定。</w:t>
      </w:r>
    </w:p>
    <w:p w14:paraId="2893543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3"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仿宋_GB2312" w:cs="Times New Roman"/>
          <w:b/>
          <w:bCs/>
          <w:i w:val="0"/>
          <w:iCs w:val="0"/>
          <w:caps w:val="0"/>
          <w:color w:val="333333"/>
          <w:spacing w:val="0"/>
          <w:sz w:val="32"/>
          <w:szCs w:val="32"/>
          <w:shd w:val="clear" w:color="auto" w:fill="FFFFFF"/>
        </w:rPr>
        <w:t>第二十六条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i w:val="0"/>
          <w:iCs w:val="0"/>
          <w:caps w:val="0"/>
          <w:color w:val="333333"/>
          <w:spacing w:val="0"/>
          <w:sz w:val="32"/>
          <w:szCs w:val="32"/>
          <w:shd w:val="clear" w:color="auto" w:fill="FFFFFF"/>
        </w:rPr>
        <w:t>本办法由</w:t>
      </w:r>
      <w:r>
        <w:rPr>
          <w:rFonts w:hint="default" w:ascii="Times New Roman" w:hAnsi="Times New Roman" w:eastAsia="方正仿宋_GBK" w:cs="Times New Roman"/>
          <w:i w:val="0"/>
          <w:iCs w:val="0"/>
          <w:caps w:val="0"/>
          <w:color w:val="333333"/>
          <w:spacing w:val="0"/>
          <w:sz w:val="32"/>
          <w:szCs w:val="32"/>
          <w:shd w:val="clear" w:color="auto" w:fill="FFFFFF"/>
          <w:lang w:val="en-US" w:eastAsia="zh-CN"/>
        </w:rPr>
        <w:t>拉萨市行政审批和便民服务</w:t>
      </w:r>
      <w:r>
        <w:rPr>
          <w:rFonts w:hint="default" w:ascii="Times New Roman" w:hAnsi="Times New Roman" w:eastAsia="方正仿宋_GBK" w:cs="Times New Roman"/>
          <w:i w:val="0"/>
          <w:iCs w:val="0"/>
          <w:caps w:val="0"/>
          <w:color w:val="333333"/>
          <w:spacing w:val="0"/>
          <w:sz w:val="32"/>
          <w:szCs w:val="32"/>
          <w:shd w:val="clear" w:color="auto" w:fill="FFFFFF"/>
        </w:rPr>
        <w:t>局负责解释。</w:t>
      </w:r>
    </w:p>
    <w:p w14:paraId="307B858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国标仿宋" w:hAnsi="国标仿宋" w:eastAsia="国标仿宋" w:cs="国标仿宋"/>
          <w:sz w:val="32"/>
          <w:szCs w:val="32"/>
          <w:lang w:val="en-US" w:eastAsia="zh-CN"/>
        </w:rPr>
      </w:pPr>
      <w:r>
        <w:rPr>
          <w:rFonts w:hint="default" w:ascii="Times New Roman" w:hAnsi="Times New Roman" w:eastAsia="仿宋_GB2312" w:cs="Times New Roman"/>
          <w:b/>
          <w:bCs/>
          <w:i w:val="0"/>
          <w:iCs w:val="0"/>
          <w:caps w:val="0"/>
          <w:color w:val="333333"/>
          <w:spacing w:val="0"/>
          <w:sz w:val="32"/>
          <w:szCs w:val="32"/>
          <w:shd w:val="clear" w:color="auto" w:fill="FFFFFF"/>
        </w:rPr>
        <w:t>第二十七条</w:t>
      </w:r>
      <w:r>
        <w:rPr>
          <w:rFonts w:hint="default" w:ascii="Times New Roman" w:hAnsi="Times New Roman" w:eastAsia="仿宋_GB2312" w:cs="Times New Roman"/>
          <w:i w:val="0"/>
          <w:iCs w:val="0"/>
          <w:caps w:val="0"/>
          <w:color w:val="333333"/>
          <w:spacing w:val="0"/>
          <w:sz w:val="32"/>
          <w:szCs w:val="32"/>
          <w:shd w:val="clear" w:color="auto" w:fill="FFFFFF"/>
        </w:rPr>
        <w:t> </w:t>
      </w:r>
      <w:r>
        <w:rPr>
          <w:rFonts w:hint="eastAsia" w:ascii="Times New Roman" w:hAnsi="Times New Roman" w:eastAsia="方正仿宋_GBK" w:cs="Times New Roman"/>
          <w:b w:val="0"/>
          <w:bCs w:val="0"/>
          <w:kern w:val="2"/>
          <w:sz w:val="32"/>
          <w:szCs w:val="32"/>
          <w:lang w:val="en-US" w:eastAsia="zh-CN" w:bidi="ar-SA"/>
        </w:rPr>
        <w:t>本办法自印发之日起执行，有效期3年。</w:t>
      </w:r>
    </w:p>
    <w:p w14:paraId="79E1545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0" w:firstLineChars="200"/>
        <w:jc w:val="both"/>
        <w:textAlignment w:val="auto"/>
        <w:rPr>
          <w:rFonts w:hint="eastAsia" w:ascii="方正仿宋_GBK" w:hAnsi="方正仿宋_GBK" w:eastAsia="方正仿宋_GBK" w:cs="方正仿宋_GBK"/>
          <w:i w:val="0"/>
          <w:iCs w:val="0"/>
          <w:caps w:val="0"/>
          <w:color w:val="333333"/>
          <w:spacing w:val="0"/>
          <w:sz w:val="32"/>
          <w:szCs w:val="32"/>
        </w:rPr>
      </w:pPr>
    </w:p>
    <w:p w14:paraId="082AD21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0" w:afterAutospacing="0" w:line="576" w:lineRule="exact"/>
        <w:ind w:left="0" w:right="0" w:firstLine="0"/>
        <w:jc w:val="left"/>
        <w:rPr>
          <w:rFonts w:ascii="黑体" w:hAnsi="宋体" w:eastAsia="黑体" w:cs="黑体"/>
          <w:i w:val="0"/>
          <w:iCs w:val="0"/>
          <w:caps w:val="0"/>
          <w:color w:val="333333"/>
          <w:spacing w:val="0"/>
          <w:kern w:val="0"/>
          <w:sz w:val="32"/>
          <w:szCs w:val="32"/>
          <w:shd w:val="clear" w:color="auto" w:fill="FFFFFF"/>
          <w:lang w:val="en-US" w:eastAsia="zh-CN" w:bidi="ar"/>
        </w:rPr>
      </w:pPr>
    </w:p>
    <w:p w14:paraId="529AB0A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0" w:afterAutospacing="0" w:line="576" w:lineRule="exact"/>
        <w:ind w:left="0" w:right="0" w:firstLine="0"/>
        <w:jc w:val="left"/>
        <w:rPr>
          <w:rFonts w:ascii="黑体" w:hAnsi="宋体" w:eastAsia="黑体" w:cs="黑体"/>
          <w:i w:val="0"/>
          <w:iCs w:val="0"/>
          <w:caps w:val="0"/>
          <w:color w:val="333333"/>
          <w:spacing w:val="0"/>
          <w:kern w:val="0"/>
          <w:sz w:val="32"/>
          <w:szCs w:val="32"/>
          <w:shd w:val="clear" w:color="auto" w:fill="FFFFFF"/>
          <w:lang w:val="en-US" w:eastAsia="zh-CN" w:bidi="ar"/>
        </w:rPr>
      </w:pPr>
    </w:p>
    <w:p w14:paraId="639CFA8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0" w:afterAutospacing="0" w:line="576" w:lineRule="exact"/>
        <w:ind w:left="0" w:right="0" w:firstLine="0"/>
        <w:jc w:val="left"/>
        <w:rPr>
          <w:rFonts w:ascii="黑体" w:hAnsi="宋体" w:eastAsia="黑体" w:cs="黑体"/>
          <w:i w:val="0"/>
          <w:iCs w:val="0"/>
          <w:caps w:val="0"/>
          <w:color w:val="333333"/>
          <w:spacing w:val="0"/>
          <w:kern w:val="0"/>
          <w:sz w:val="32"/>
          <w:szCs w:val="32"/>
          <w:shd w:val="clear" w:color="auto" w:fill="FFFFFF"/>
          <w:lang w:val="en-US" w:eastAsia="zh-CN" w:bidi="ar"/>
        </w:rPr>
      </w:pPr>
    </w:p>
    <w:p w14:paraId="3C6E126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0" w:afterAutospacing="0" w:line="576" w:lineRule="exact"/>
        <w:ind w:left="0" w:right="0" w:firstLine="0"/>
        <w:jc w:val="left"/>
        <w:rPr>
          <w:rFonts w:ascii="黑体" w:hAnsi="宋体" w:eastAsia="黑体" w:cs="黑体"/>
          <w:i w:val="0"/>
          <w:iCs w:val="0"/>
          <w:caps w:val="0"/>
          <w:color w:val="333333"/>
          <w:spacing w:val="0"/>
          <w:kern w:val="0"/>
          <w:sz w:val="32"/>
          <w:szCs w:val="32"/>
          <w:shd w:val="clear" w:color="auto" w:fill="FFFFFF"/>
          <w:lang w:val="en-US" w:eastAsia="zh-CN" w:bidi="ar"/>
        </w:rPr>
      </w:pPr>
    </w:p>
    <w:p w14:paraId="7314731B">
      <w:pPr>
        <w:keepNext w:val="0"/>
        <w:keepLines w:val="0"/>
        <w:pageBreakBefore w:val="0"/>
        <w:kinsoku/>
        <w:wordWrap/>
        <w:overflowPunct/>
        <w:topLinePunct w:val="0"/>
        <w:autoSpaceDE/>
        <w:autoSpaceDN/>
        <w:bidi w:val="0"/>
        <w:adjustRightInd/>
        <w:snapToGrid/>
        <w:spacing w:line="576" w:lineRule="exact"/>
      </w:pPr>
    </w:p>
    <w:p w14:paraId="4E3289D7">
      <w:pPr>
        <w:keepNext w:val="0"/>
        <w:keepLines w:val="0"/>
        <w:pageBreakBefore w:val="0"/>
        <w:kinsoku/>
        <w:wordWrap/>
        <w:overflowPunct/>
        <w:topLinePunct w:val="0"/>
        <w:autoSpaceDE/>
        <w:autoSpaceDN/>
        <w:bidi w:val="0"/>
        <w:adjustRightInd/>
        <w:snapToGrid/>
        <w:spacing w:line="576" w:lineRule="exact"/>
      </w:pPr>
    </w:p>
    <w:p w14:paraId="72FF7375">
      <w:pPr>
        <w:keepNext w:val="0"/>
        <w:keepLines w:val="0"/>
        <w:pageBreakBefore w:val="0"/>
        <w:kinsoku/>
        <w:wordWrap/>
        <w:overflowPunct/>
        <w:topLinePunct w:val="0"/>
        <w:autoSpaceDE/>
        <w:autoSpaceDN/>
        <w:bidi w:val="0"/>
        <w:adjustRightInd/>
        <w:snapToGrid/>
        <w:spacing w:line="576" w:lineRule="exact"/>
      </w:pPr>
    </w:p>
    <w:p w14:paraId="16177A4B">
      <w:pPr>
        <w:keepNext w:val="0"/>
        <w:keepLines w:val="0"/>
        <w:pageBreakBefore w:val="0"/>
        <w:kinsoku/>
        <w:wordWrap/>
        <w:overflowPunct/>
        <w:topLinePunct w:val="0"/>
        <w:autoSpaceDE/>
        <w:autoSpaceDN/>
        <w:bidi w:val="0"/>
        <w:adjustRightInd/>
        <w:snapToGrid/>
        <w:spacing w:line="576" w:lineRule="exact"/>
      </w:pPr>
    </w:p>
    <w:p w14:paraId="171E4B67">
      <w:pPr>
        <w:keepNext w:val="0"/>
        <w:keepLines w:val="0"/>
        <w:pageBreakBefore w:val="0"/>
        <w:kinsoku/>
        <w:wordWrap/>
        <w:overflowPunct/>
        <w:topLinePunct w:val="0"/>
        <w:autoSpaceDE/>
        <w:autoSpaceDN/>
        <w:bidi w:val="0"/>
        <w:adjustRightInd/>
        <w:snapToGrid/>
        <w:spacing w:line="576" w:lineRule="exact"/>
      </w:pPr>
    </w:p>
    <w:p w14:paraId="15F099E8">
      <w:pPr>
        <w:keepNext w:val="0"/>
        <w:keepLines w:val="0"/>
        <w:pageBreakBefore w:val="0"/>
        <w:kinsoku/>
        <w:wordWrap/>
        <w:overflowPunct/>
        <w:topLinePunct w:val="0"/>
        <w:autoSpaceDE/>
        <w:autoSpaceDN/>
        <w:bidi w:val="0"/>
        <w:adjustRightInd/>
        <w:snapToGrid/>
        <w:spacing w:line="576" w:lineRule="exact"/>
      </w:pPr>
    </w:p>
    <w:p w14:paraId="20E0F4E2">
      <w:pPr>
        <w:pStyle w:val="5"/>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sz w:val="32"/>
          <w:szCs w:val="32"/>
          <w:lang w:val="en-US" w:eastAsia="zh-CN"/>
        </w:rPr>
      </w:pPr>
    </w:p>
    <w:p w14:paraId="2002B811">
      <w:pPr>
        <w:pStyle w:val="5"/>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sz w:val="32"/>
          <w:szCs w:val="32"/>
          <w:lang w:val="en-US" w:eastAsia="zh-CN"/>
        </w:rPr>
      </w:pPr>
    </w:p>
    <w:p w14:paraId="57ED6FA6">
      <w:pPr>
        <w:pStyle w:val="5"/>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sz w:val="32"/>
          <w:szCs w:val="32"/>
          <w:lang w:val="en-US" w:eastAsia="zh-CN"/>
        </w:rPr>
      </w:pPr>
    </w:p>
    <w:p w14:paraId="1751FCE8">
      <w:pPr>
        <w:pStyle w:val="5"/>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方正仿宋_GBK" w:cs="Times New Roman"/>
          <w:sz w:val="32"/>
          <w:szCs w:val="32"/>
          <w:lang w:val="en-US" w:eastAsia="zh-CN"/>
        </w:rPr>
      </w:pPr>
    </w:p>
    <w:p w14:paraId="75589741">
      <w:pPr>
        <w:keepNext w:val="0"/>
        <w:keepLines w:val="0"/>
        <w:pageBreakBefore w:val="0"/>
        <w:widowControl w:val="0"/>
        <w:pBdr>
          <w:top w:val="single" w:color="auto" w:sz="4" w:space="1"/>
          <w:left w:val="none" w:color="auto" w:sz="0" w:space="4"/>
          <w:bottom w:val="single" w:color="auto" w:sz="4" w:space="1"/>
          <w:right w:val="none" w:color="auto" w:sz="0" w:space="4"/>
        </w:pBdr>
        <w:kinsoku/>
        <w:wordWrap/>
        <w:overflowPunct/>
        <w:topLinePunct w:val="0"/>
        <w:autoSpaceDE/>
        <w:autoSpaceDN/>
        <w:bidi w:val="0"/>
        <w:adjustRightInd/>
        <w:snapToGrid/>
        <w:spacing w:line="576" w:lineRule="exact"/>
        <w:ind w:firstLine="280" w:firstLineChars="100"/>
        <w:jc w:val="left"/>
        <w:textAlignment w:val="auto"/>
        <w:rPr>
          <w:rFonts w:hint="default" w:ascii="仿宋" w:hAnsi="仿宋" w:eastAsia="仿宋" w:cs="仿宋"/>
          <w:sz w:val="32"/>
          <w:szCs w:val="32"/>
          <w:lang w:val="en-US" w:eastAsia="zh-CN"/>
        </w:rPr>
      </w:pPr>
      <w:r>
        <w:rPr>
          <w:rFonts w:hint="default" w:ascii="Times New Roman" w:hAnsi="Times New Roman" w:eastAsia="方正仿宋_GBK" w:cs="Times New Roman"/>
          <w:color w:val="auto"/>
          <w:sz w:val="28"/>
          <w:szCs w:val="28"/>
        </w:rPr>
        <w:t>拉萨市行政审批和便民服务局</w: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rPr>
        <w:t xml:space="preserve"> </w:t>
      </w:r>
      <w:r>
        <w:rPr>
          <w:rFonts w:hint="default" w:ascii="Times New Roman" w:hAnsi="Times New Roman" w:eastAsia="方正仿宋_GBK" w:cs="Times New Roman"/>
          <w:i w:val="0"/>
          <w:iCs w:val="0"/>
          <w:caps w:val="0"/>
          <w:color w:val="000000"/>
          <w:spacing w:val="0"/>
          <w:sz w:val="32"/>
          <w:szCs w:val="32"/>
          <w:lang w:val="en-US" w:eastAsia="zh-CN"/>
        </w:rPr>
        <w:t>2026</w:t>
      </w:r>
      <w:r>
        <w:rPr>
          <w:rFonts w:hint="default" w:ascii="Times New Roman" w:hAnsi="Times New Roman" w:eastAsia="方正仿宋_GBK" w:cs="Times New Roman"/>
          <w:color w:val="auto"/>
          <w:sz w:val="28"/>
          <w:szCs w:val="28"/>
        </w:rPr>
        <w:t>年</w:t>
      </w:r>
      <w:r>
        <w:rPr>
          <w:rFonts w:hint="eastAsia"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月</w:t>
      </w:r>
      <w:r>
        <w:rPr>
          <w:rFonts w:hint="eastAsia" w:ascii="Times New Roman" w:hAnsi="Times New Roman" w:eastAsia="方正仿宋_GBK" w:cs="Times New Roman"/>
          <w:color w:val="auto"/>
          <w:sz w:val="28"/>
          <w:szCs w:val="28"/>
          <w:lang w:val="en-US" w:eastAsia="zh-CN"/>
        </w:rPr>
        <w:t>12</w:t>
      </w:r>
      <w:r>
        <w:rPr>
          <w:rFonts w:hint="default" w:ascii="Times New Roman" w:hAnsi="Times New Roman" w:eastAsia="方正仿宋_GBK" w:cs="Times New Roman"/>
          <w:color w:val="auto"/>
          <w:sz w:val="28"/>
          <w:szCs w:val="28"/>
        </w:rPr>
        <w:t>日印发</w:t>
      </w:r>
      <w:r>
        <w:rPr>
          <w:rFonts w:hint="eastAsia" w:ascii="仿宋" w:hAnsi="仿宋" w:eastAsia="仿宋" w:cs="仿宋"/>
          <w:sz w:val="32"/>
          <w:szCs w:val="32"/>
          <w:lang w:val="en-US" w:eastAsia="zh-CN"/>
        </w:rPr>
        <w:t xml:space="preserve">  </w:t>
      </w:r>
    </w:p>
    <w:p w14:paraId="02E2CE3C">
      <w:pPr>
        <w:keepNext w:val="0"/>
        <w:keepLines w:val="0"/>
        <w:pageBreakBefore w:val="0"/>
        <w:kinsoku/>
        <w:wordWrap/>
        <w:overflowPunct/>
        <w:topLinePunct w:val="0"/>
        <w:autoSpaceDE/>
        <w:autoSpaceDN/>
        <w:bidi w:val="0"/>
        <w:adjustRightInd/>
        <w:snapToGrid/>
        <w:spacing w:line="576" w:lineRule="exact"/>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国标仿宋">
    <w:altName w:val="仿宋"/>
    <w:panose1 w:val="02000500000000000000"/>
    <w:charset w:val="86"/>
    <w:family w:val="auto"/>
    <w:pitch w:val="default"/>
    <w:sig w:usb0="A00002BF" w:usb1="38C77CFA" w:usb2="00000016"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9C39F9"/>
    <w:multiLevelType w:val="singleLevel"/>
    <w:tmpl w:val="5E9C39F9"/>
    <w:lvl w:ilvl="0" w:tentative="0">
      <w:start w:val="4"/>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E7FC680"/>
    <w:rsid w:val="0E055B80"/>
    <w:rsid w:val="1A0E6C42"/>
    <w:rsid w:val="21496085"/>
    <w:rsid w:val="2A261D85"/>
    <w:rsid w:val="308B121E"/>
    <w:rsid w:val="38216507"/>
    <w:rsid w:val="3E2C732E"/>
    <w:rsid w:val="3E330AEB"/>
    <w:rsid w:val="3EFF04B5"/>
    <w:rsid w:val="3FB3156E"/>
    <w:rsid w:val="461B400B"/>
    <w:rsid w:val="4B09304B"/>
    <w:rsid w:val="548F4D1C"/>
    <w:rsid w:val="58483707"/>
    <w:rsid w:val="5B6D39F0"/>
    <w:rsid w:val="5F107184"/>
    <w:rsid w:val="64190391"/>
    <w:rsid w:val="65070B28"/>
    <w:rsid w:val="6B54130A"/>
    <w:rsid w:val="6DE75F02"/>
    <w:rsid w:val="73CE0D90"/>
    <w:rsid w:val="7EF718A4"/>
    <w:rsid w:val="7EFD7987"/>
    <w:rsid w:val="7F7B2C96"/>
    <w:rsid w:val="EE7FC6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Style w:val="3"/>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paragraph" w:customStyle="1" w:styleId="5">
    <w:name w:val="无间隔1"/>
    <w:qFormat/>
    <w:uiPriority w:val="1"/>
    <w:pPr>
      <w:widowControl w:val="0"/>
      <w:jc w:val="both"/>
    </w:pPr>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3012</Words>
  <Characters>3037</Characters>
  <Lines>0</Lines>
  <Paragraphs>0</Paragraphs>
  <TotalTime>0</TotalTime>
  <ScaleCrop>false</ScaleCrop>
  <LinksUpToDate>false</LinksUpToDate>
  <CharactersWithSpaces>3084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2025-04-10T10:50:00Z</dcterms:created>
  <dc:creator>huawei</dc:creator>
  <cp:lastModifiedBy>Take me away</cp:lastModifiedBy>
  <cp:lastPrinted>2026-03-31T02:40:38Z</cp:lastPrinted>
  <dcterms:modified xsi:type="dcterms:W3CDTF">2026-10-26T01:52:45Z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3C6ECD02F755413C8F0C282C0DE9B8A7_13</vt:lpwstr>
  </property>
  <property fmtid="{D5CDD505-2E9C-101B-9397-08002B2CF9AE}" pid="4" name="KSOTemplateDocerSaveRecord">
    <vt:lpwstr>eyJoZGlkIjoiYjQ0NDE4M2QxN2UzMzAwYWE1OGU5NWI1Yjg5YWIwODMiLCJ1c2VySWQiOiI0MzkyNDM5NjcifQ==</vt:lpwstr>
  </property>
</Properties>
</file>