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附件1</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小标宋_GBK" w:cstheme="majorEastAsia"/>
          <w:b w:val="0"/>
          <w:bCs w:val="0"/>
          <w:sz w:val="32"/>
          <w:szCs w:val="32"/>
          <w:lang w:val="en-US" w:eastAsia="zh-CN"/>
        </w:rPr>
      </w:pPr>
      <w:r>
        <w:rPr>
          <w:rFonts w:hint="eastAsia" w:ascii="Times New Roman" w:hAnsi="Times New Roman" w:eastAsia="方正小标宋_GBK" w:cstheme="majorEastAsia"/>
          <w:b w:val="0"/>
          <w:bCs w:val="0"/>
          <w:sz w:val="32"/>
          <w:szCs w:val="32"/>
          <w:lang w:val="en-US" w:eastAsia="zh-CN"/>
        </w:rPr>
        <w:t>拉萨市公共资源交易中心“评定分离”智慧交易系统建设项目采购需求</w:t>
      </w:r>
    </w:p>
    <w:p>
      <w:pPr>
        <w:pStyle w:val="2"/>
        <w:rPr>
          <w:rFonts w:hint="eastAsia" w:ascii="Times New Roman" w:hAnsi="Times New Roman" w:eastAsia="方正小标宋_GBK" w:cstheme="majorEastAsia"/>
          <w:b w:val="0"/>
          <w:bCs w:val="0"/>
          <w:sz w:val="32"/>
          <w:szCs w:val="32"/>
          <w:lang w:val="en-US" w:eastAsia="zh-CN"/>
        </w:rPr>
      </w:pPr>
    </w:p>
    <w:p>
      <w:pPr>
        <w:pStyle w:val="10"/>
        <w:numPr>
          <w:ilvl w:val="0"/>
          <w:numId w:val="0"/>
        </w:numPr>
        <w:spacing w:line="360" w:lineRule="auto"/>
        <w:ind w:leftChars="0" w:firstLine="482" w:firstLineChars="200"/>
        <w:outlineLvl w:val="2"/>
        <w:rPr>
          <w:rFonts w:ascii="仿宋" w:hAnsi="仿宋" w:eastAsia="仿宋"/>
          <w:b/>
          <w:sz w:val="24"/>
          <w:szCs w:val="24"/>
          <w:lang w:eastAsia="zh-CN"/>
        </w:rPr>
      </w:pPr>
      <w:r>
        <w:rPr>
          <w:rFonts w:hint="eastAsia" w:ascii="仿宋" w:hAnsi="仿宋" w:eastAsia="仿宋"/>
          <w:b/>
          <w:sz w:val="24"/>
          <w:szCs w:val="24"/>
          <w:lang w:val="en-US" w:eastAsia="zh-CN"/>
        </w:rPr>
        <w:t>一、</w:t>
      </w:r>
      <w:r>
        <w:rPr>
          <w:rFonts w:ascii="仿宋" w:hAnsi="仿宋" w:eastAsia="仿宋"/>
          <w:b/>
          <w:sz w:val="24"/>
          <w:szCs w:val="24"/>
          <w:lang w:eastAsia="zh-CN"/>
        </w:rPr>
        <w:t>项目背景</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为进一步贯彻国家“放管服”改革精神，促进公共资源交易市场健康有序发展，</w:t>
      </w:r>
      <w:r>
        <w:rPr>
          <w:rFonts w:hint="eastAsia" w:ascii="仿宋" w:hAnsi="仿宋" w:eastAsia="仿宋"/>
          <w:sz w:val="24"/>
          <w:szCs w:val="24"/>
          <w:lang w:val="en-US" w:eastAsia="zh-CN"/>
        </w:rPr>
        <w:t>根据《国务院办公厅关于创新完善体制机制推动招投标市场规范健康发展的意见》</w:t>
      </w:r>
      <w:r>
        <w:rPr>
          <w:rFonts w:hint="eastAsia" w:ascii="仿宋" w:hAnsi="仿宋" w:eastAsia="仿宋"/>
          <w:sz w:val="24"/>
          <w:szCs w:val="24"/>
        </w:rPr>
        <w:t>《拉萨市关于进一步规范和加强招标投标领域工作的指导意见》等相关文件要求，落实招投标活动中招标人主体责任，构建权责对等、规范透明、择优定标的公共资源数字交易环境，拉萨市公共资源交易中心</w:t>
      </w:r>
      <w:r>
        <w:rPr>
          <w:rFonts w:hint="eastAsia" w:ascii="仿宋" w:hAnsi="仿宋" w:eastAsia="仿宋"/>
          <w:sz w:val="24"/>
          <w:szCs w:val="24"/>
          <w:lang w:val="en-US" w:eastAsia="zh-CN"/>
        </w:rPr>
        <w:t>拟建设“拉萨市</w:t>
      </w:r>
      <w:r>
        <w:rPr>
          <w:rFonts w:hint="eastAsia" w:ascii="仿宋" w:hAnsi="仿宋" w:eastAsia="仿宋"/>
          <w:sz w:val="24"/>
          <w:szCs w:val="24"/>
        </w:rPr>
        <w:t>公共资源</w:t>
      </w:r>
      <w:r>
        <w:rPr>
          <w:rFonts w:hint="eastAsia" w:ascii="仿宋" w:hAnsi="仿宋" w:eastAsia="仿宋"/>
          <w:sz w:val="24"/>
          <w:szCs w:val="24"/>
          <w:lang w:val="en-US" w:eastAsia="zh-CN"/>
        </w:rPr>
        <w:t>交易</w:t>
      </w:r>
      <w:r>
        <w:rPr>
          <w:rFonts w:hint="eastAsia" w:ascii="仿宋" w:hAnsi="仿宋" w:eastAsia="仿宋"/>
          <w:sz w:val="24"/>
          <w:szCs w:val="24"/>
        </w:rPr>
        <w:t>评定分离系统”。本项目旨在建构一个集开放性、竞争性、透明度及规范化的数字化公共资源交易平台，致力于在数字化招标投标流程中实现“评定分离”，通过技术手段确保评审环节与定标决策的绝对独立与公正，从而塑造一个</w:t>
      </w:r>
      <w:r>
        <w:rPr>
          <w:rFonts w:ascii="仿宋" w:hAnsi="仿宋" w:eastAsia="仿宋"/>
          <w:sz w:val="24"/>
          <w:szCs w:val="24"/>
        </w:rPr>
        <w:t>市场化、法治化、智能化</w:t>
      </w:r>
      <w:r>
        <w:rPr>
          <w:rFonts w:hint="eastAsia" w:ascii="仿宋" w:hAnsi="仿宋" w:eastAsia="仿宋"/>
          <w:sz w:val="24"/>
          <w:szCs w:val="24"/>
        </w:rPr>
        <w:t>的数字交易市场环境。</w:t>
      </w:r>
    </w:p>
    <w:p>
      <w:pPr>
        <w:pStyle w:val="10"/>
        <w:numPr>
          <w:ilvl w:val="0"/>
          <w:numId w:val="0"/>
        </w:numPr>
        <w:spacing w:line="360" w:lineRule="auto"/>
        <w:ind w:leftChars="0" w:firstLine="482" w:firstLineChars="200"/>
        <w:outlineLvl w:val="2"/>
        <w:rPr>
          <w:rFonts w:ascii="仿宋" w:hAnsi="仿宋" w:eastAsia="仿宋"/>
          <w:b/>
          <w:sz w:val="24"/>
          <w:szCs w:val="24"/>
          <w:lang w:eastAsia="zh-CN"/>
        </w:rPr>
      </w:pPr>
      <w:r>
        <w:rPr>
          <w:rFonts w:hint="eastAsia" w:ascii="仿宋" w:hAnsi="仿宋" w:eastAsia="仿宋"/>
          <w:b/>
          <w:sz w:val="24"/>
          <w:szCs w:val="24"/>
          <w:lang w:val="en-US" w:eastAsia="zh-CN"/>
        </w:rPr>
        <w:t>二、</w:t>
      </w:r>
      <w:r>
        <w:rPr>
          <w:rFonts w:ascii="仿宋" w:hAnsi="仿宋" w:eastAsia="仿宋"/>
          <w:b/>
          <w:sz w:val="24"/>
          <w:szCs w:val="24"/>
          <w:lang w:eastAsia="zh-CN"/>
        </w:rPr>
        <w:t>采购项目概况</w:t>
      </w:r>
    </w:p>
    <w:p>
      <w:pPr>
        <w:widowControl/>
        <w:spacing w:line="360" w:lineRule="auto"/>
        <w:ind w:firstLine="480" w:firstLineChars="200"/>
        <w:jc w:val="left"/>
        <w:rPr>
          <w:rFonts w:hint="default" w:ascii="仿宋" w:hAnsi="仿宋" w:eastAsia="仿宋" w:cs="Times New Roman"/>
          <w:kern w:val="0"/>
          <w:sz w:val="24"/>
          <w:szCs w:val="24"/>
          <w:lang w:val="en-US" w:eastAsia="zh-Hans"/>
          <w14:ligatures w14:val="none"/>
        </w:rPr>
      </w:pPr>
      <w:r>
        <w:rPr>
          <w:rFonts w:hint="eastAsia" w:ascii="仿宋" w:hAnsi="仿宋" w:eastAsia="仿宋"/>
          <w:sz w:val="24"/>
          <w:szCs w:val="24"/>
        </w:rPr>
        <w:t>拉萨市公共资源交易中心</w:t>
      </w:r>
      <w:r>
        <w:rPr>
          <w:rFonts w:hint="eastAsia" w:ascii="仿宋" w:hAnsi="仿宋" w:eastAsia="仿宋"/>
          <w:sz w:val="24"/>
          <w:szCs w:val="24"/>
          <w:lang w:val="en-US" w:eastAsia="zh-CN"/>
        </w:rPr>
        <w:t>计划</w:t>
      </w:r>
      <w:r>
        <w:rPr>
          <w:rFonts w:hint="eastAsia" w:ascii="仿宋" w:hAnsi="仿宋" w:eastAsia="仿宋"/>
          <w:sz w:val="24"/>
          <w:szCs w:val="24"/>
        </w:rPr>
        <w:t>采购</w:t>
      </w:r>
      <w:r>
        <w:rPr>
          <w:rFonts w:hint="eastAsia" w:ascii="仿宋" w:hAnsi="仿宋" w:eastAsia="仿宋" w:cs="Times New Roman"/>
          <w:kern w:val="0"/>
          <w:sz w:val="24"/>
          <w:szCs w:val="24"/>
          <w:lang w:eastAsia="zh-Hans"/>
          <w14:ligatures w14:val="none"/>
        </w:rPr>
        <w:t>拉萨市公共资源交易中心评定分离</w:t>
      </w:r>
      <w:r>
        <w:rPr>
          <w:rFonts w:hint="eastAsia" w:ascii="仿宋" w:hAnsi="仿宋" w:eastAsia="仿宋" w:cs="Times New Roman"/>
          <w:kern w:val="0"/>
          <w:sz w:val="24"/>
          <w:szCs w:val="24"/>
          <w:lang w:val="en-US" w:eastAsia="zh-CN"/>
          <w14:ligatures w14:val="none"/>
        </w:rPr>
        <w:t>智慧</w:t>
      </w:r>
      <w:r>
        <w:rPr>
          <w:rFonts w:hint="eastAsia" w:ascii="仿宋" w:hAnsi="仿宋" w:eastAsia="仿宋" w:cs="Times New Roman"/>
          <w:kern w:val="0"/>
          <w:sz w:val="24"/>
          <w:szCs w:val="24"/>
          <w:lang w:eastAsia="zh-Hans"/>
          <w14:ligatures w14:val="none"/>
        </w:rPr>
        <w:t>交易系统</w:t>
      </w:r>
      <w:r>
        <w:rPr>
          <w:rFonts w:hint="eastAsia" w:ascii="仿宋" w:hAnsi="仿宋" w:eastAsia="仿宋" w:cs="Times New Roman"/>
          <w:kern w:val="0"/>
          <w:sz w:val="24"/>
          <w:szCs w:val="24"/>
          <w:lang w:val="en-US" w:eastAsia="zh-CN"/>
          <w14:ligatures w14:val="none"/>
        </w:rPr>
        <w:t>一项，本项目不分标段。</w:t>
      </w:r>
    </w:p>
    <w:p>
      <w:pPr>
        <w:pStyle w:val="10"/>
        <w:numPr>
          <w:ilvl w:val="0"/>
          <w:numId w:val="0"/>
        </w:numPr>
        <w:spacing w:line="360" w:lineRule="auto"/>
        <w:ind w:firstLine="482" w:firstLineChars="200"/>
        <w:outlineLvl w:val="2"/>
        <w:rPr>
          <w:rFonts w:ascii="仿宋" w:hAnsi="仿宋" w:eastAsia="仿宋"/>
          <w:b/>
          <w:sz w:val="24"/>
          <w:szCs w:val="24"/>
          <w:lang w:eastAsia="zh-CN"/>
        </w:rPr>
      </w:pPr>
      <w:r>
        <w:rPr>
          <w:rFonts w:hint="eastAsia" w:ascii="仿宋" w:hAnsi="仿宋" w:eastAsia="仿宋"/>
          <w:b/>
          <w:sz w:val="24"/>
          <w:szCs w:val="24"/>
          <w:lang w:val="en-US" w:eastAsia="zh-CN"/>
        </w:rPr>
        <w:t>三、</w:t>
      </w:r>
      <w:r>
        <w:rPr>
          <w:rFonts w:ascii="仿宋" w:hAnsi="仿宋" w:eastAsia="仿宋"/>
          <w:b/>
          <w:sz w:val="24"/>
          <w:szCs w:val="24"/>
          <w:lang w:eastAsia="zh-CN"/>
        </w:rPr>
        <w:t>服务内容及服务要求</w:t>
      </w:r>
    </w:p>
    <w:p>
      <w:pPr>
        <w:pStyle w:val="10"/>
        <w:numPr>
          <w:ilvl w:val="0"/>
          <w:numId w:val="0"/>
        </w:numPr>
        <w:spacing w:line="360" w:lineRule="auto"/>
        <w:ind w:leftChars="200"/>
        <w:outlineLvl w:val="2"/>
        <w:rPr>
          <w:rFonts w:ascii="仿宋" w:hAnsi="仿宋" w:eastAsia="仿宋"/>
          <w:b/>
          <w:sz w:val="24"/>
          <w:szCs w:val="24"/>
          <w:lang w:eastAsia="zh-CN"/>
        </w:rPr>
      </w:pPr>
      <w:r>
        <w:rPr>
          <w:rFonts w:hint="eastAsia" w:ascii="仿宋" w:hAnsi="仿宋" w:eastAsia="仿宋"/>
          <w:b/>
          <w:sz w:val="24"/>
          <w:szCs w:val="24"/>
          <w:lang w:eastAsia="zh-CN"/>
        </w:rPr>
        <w:t>（</w:t>
      </w:r>
      <w:r>
        <w:rPr>
          <w:rFonts w:hint="eastAsia" w:ascii="仿宋" w:hAnsi="仿宋" w:eastAsia="仿宋"/>
          <w:b/>
          <w:sz w:val="24"/>
          <w:szCs w:val="24"/>
          <w:lang w:val="en-US" w:eastAsia="zh-CN"/>
        </w:rPr>
        <w:t>一</w:t>
      </w:r>
      <w:r>
        <w:rPr>
          <w:rFonts w:hint="eastAsia" w:ascii="仿宋" w:hAnsi="仿宋" w:eastAsia="仿宋"/>
          <w:b/>
          <w:sz w:val="24"/>
          <w:szCs w:val="24"/>
          <w:lang w:eastAsia="zh-CN"/>
        </w:rPr>
        <w:t>）</w:t>
      </w:r>
      <w:r>
        <w:rPr>
          <w:rFonts w:ascii="仿宋" w:hAnsi="仿宋" w:eastAsia="仿宋"/>
          <w:b/>
          <w:sz w:val="24"/>
          <w:szCs w:val="24"/>
          <w:lang w:eastAsia="zh-CN"/>
        </w:rPr>
        <w:t>服务内容</w:t>
      </w:r>
    </w:p>
    <w:p>
      <w:pPr>
        <w:widowControl/>
        <w:spacing w:line="360" w:lineRule="auto"/>
        <w:ind w:firstLine="480" w:firstLineChars="200"/>
        <w:jc w:val="left"/>
        <w:rPr>
          <w:rFonts w:hint="default" w:ascii="仿宋" w:hAnsi="仿宋" w:eastAsia="仿宋" w:cs="Times New Roman"/>
          <w:kern w:val="0"/>
          <w:sz w:val="24"/>
          <w:szCs w:val="24"/>
          <w:lang w:val="en-US" w:eastAsia="zh-CN"/>
          <w14:ligatures w14:val="none"/>
        </w:rPr>
      </w:pPr>
      <w:r>
        <w:rPr>
          <w:rFonts w:ascii="仿宋" w:hAnsi="仿宋" w:eastAsia="仿宋" w:cs="Times New Roman"/>
          <w:kern w:val="0"/>
          <w:sz w:val="24"/>
          <w:szCs w:val="24"/>
          <w:lang w:eastAsia="zh-Hans"/>
          <w14:ligatures w14:val="none"/>
        </w:rPr>
        <w:t xml:space="preserve">采购预算金额（元）: </w:t>
      </w:r>
      <w:r>
        <w:rPr>
          <w:rFonts w:hint="eastAsia" w:ascii="仿宋" w:hAnsi="仿宋" w:eastAsia="仿宋" w:cs="Times New Roman"/>
          <w:kern w:val="0"/>
          <w:sz w:val="24"/>
          <w:szCs w:val="24"/>
          <w:lang w:val="en-US" w:eastAsia="zh-CN"/>
          <w14:ligatures w14:val="none"/>
        </w:rPr>
        <w:t xml:space="preserve"> 50万元</w:t>
      </w:r>
    </w:p>
    <w:p>
      <w:pPr>
        <w:widowControl/>
        <w:spacing w:line="360" w:lineRule="auto"/>
        <w:ind w:firstLine="480" w:firstLineChars="200"/>
        <w:jc w:val="left"/>
        <w:rPr>
          <w:rFonts w:hint="eastAsia" w:ascii="仿宋" w:hAnsi="仿宋" w:eastAsia="仿宋" w:cs="Times New Roman"/>
          <w:kern w:val="0"/>
          <w:sz w:val="24"/>
          <w:szCs w:val="24"/>
          <w14:ligatures w14:val="none"/>
        </w:rPr>
      </w:pPr>
      <w:r>
        <w:rPr>
          <w:rFonts w:ascii="仿宋" w:hAnsi="仿宋" w:eastAsia="仿宋" w:cs="Times New Roman"/>
          <w:kern w:val="0"/>
          <w:sz w:val="24"/>
          <w:szCs w:val="24"/>
          <w:lang w:eastAsia="zh-Hans"/>
          <w14:ligatures w14:val="none"/>
        </w:rPr>
        <w:t xml:space="preserve">采购最高限价（元）: </w:t>
      </w:r>
      <w:r>
        <w:rPr>
          <w:rFonts w:hint="eastAsia" w:ascii="仿宋" w:hAnsi="仿宋" w:eastAsia="仿宋" w:cs="Times New Roman"/>
          <w:kern w:val="0"/>
          <w:sz w:val="24"/>
          <w:szCs w:val="24"/>
          <w14:ligatures w14:val="none"/>
        </w:rPr>
        <w:t xml:space="preserve"> </w:t>
      </w:r>
      <w:r>
        <w:rPr>
          <w:rFonts w:hint="eastAsia" w:ascii="仿宋" w:hAnsi="仿宋" w:eastAsia="仿宋" w:cs="Times New Roman"/>
          <w:kern w:val="0"/>
          <w:sz w:val="24"/>
          <w:szCs w:val="24"/>
          <w:lang w:val="en-US" w:eastAsia="zh-CN"/>
          <w14:ligatures w14:val="none"/>
        </w:rPr>
        <w:t>50万元</w:t>
      </w:r>
      <w:r>
        <w:rPr>
          <w:rFonts w:hint="eastAsia" w:ascii="仿宋" w:hAnsi="仿宋" w:eastAsia="仿宋" w:cs="Times New Roman"/>
          <w:kern w:val="0"/>
          <w:sz w:val="24"/>
          <w:szCs w:val="24"/>
          <w14:ligatures w14:val="none"/>
        </w:rPr>
        <w:t xml:space="preserve">  超过最高限价的报价为无效报价。</w:t>
      </w:r>
    </w:p>
    <w:p>
      <w:pPr>
        <w:widowControl/>
        <w:numPr>
          <w:ilvl w:val="0"/>
          <w:numId w:val="1"/>
        </w:numPr>
        <w:spacing w:line="360" w:lineRule="auto"/>
        <w:ind w:firstLine="482" w:firstLineChars="200"/>
        <w:jc w:val="left"/>
        <w:rPr>
          <w:rFonts w:ascii="仿宋" w:hAnsi="仿宋" w:eastAsia="仿宋"/>
          <w:b/>
          <w:sz w:val="24"/>
          <w:szCs w:val="24"/>
          <w:lang w:eastAsia="zh-CN"/>
        </w:rPr>
      </w:pPr>
      <w:r>
        <w:rPr>
          <w:rFonts w:ascii="仿宋" w:hAnsi="仿宋" w:eastAsia="仿宋"/>
          <w:b/>
          <w:sz w:val="24"/>
          <w:szCs w:val="24"/>
          <w:lang w:eastAsia="zh-CN"/>
        </w:rPr>
        <w:t>服务需求</w:t>
      </w:r>
    </w:p>
    <w:p>
      <w:pPr>
        <w:widowControl/>
        <w:spacing w:line="360" w:lineRule="auto"/>
        <w:ind w:firstLine="482" w:firstLineChars="200"/>
        <w:jc w:val="left"/>
        <w:rPr>
          <w:rFonts w:ascii="仿宋" w:hAnsi="仿宋" w:eastAsia="仿宋"/>
          <w:b/>
          <w:sz w:val="24"/>
          <w:szCs w:val="24"/>
          <w:lang w:eastAsia="zh-CN"/>
        </w:rPr>
      </w:pPr>
      <w:r>
        <w:rPr>
          <w:rFonts w:hint="eastAsia" w:ascii="仿宋" w:hAnsi="仿宋" w:eastAsia="仿宋"/>
          <w:b/>
          <w:sz w:val="24"/>
          <w:szCs w:val="24"/>
          <w:lang w:val="en-US" w:eastAsia="zh-CN"/>
        </w:rPr>
        <w:t>1.</w:t>
      </w:r>
      <w:r>
        <w:rPr>
          <w:rFonts w:ascii="仿宋" w:hAnsi="仿宋" w:eastAsia="仿宋"/>
          <w:b/>
          <w:sz w:val="24"/>
          <w:szCs w:val="24"/>
          <w:lang w:eastAsia="zh-CN"/>
        </w:rPr>
        <w:t>软件部分</w:t>
      </w:r>
    </w:p>
    <w:tbl>
      <w:tblPr>
        <w:tblStyle w:val="6"/>
        <w:tblW w:w="8340" w:type="dxa"/>
        <w:tblInd w:w="113" w:type="dxa"/>
        <w:tblLayout w:type="fixed"/>
        <w:tblCellMar>
          <w:top w:w="0" w:type="dxa"/>
          <w:left w:w="108" w:type="dxa"/>
          <w:bottom w:w="0" w:type="dxa"/>
          <w:right w:w="108" w:type="dxa"/>
        </w:tblCellMar>
      </w:tblPr>
      <w:tblGrid>
        <w:gridCol w:w="1080"/>
        <w:gridCol w:w="1080"/>
        <w:gridCol w:w="2620"/>
        <w:gridCol w:w="3560"/>
      </w:tblGrid>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序号</w:t>
            </w:r>
          </w:p>
        </w:tc>
        <w:tc>
          <w:tcPr>
            <w:tcW w:w="1080"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系统名称</w:t>
            </w:r>
          </w:p>
        </w:tc>
        <w:tc>
          <w:tcPr>
            <w:tcW w:w="2620"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功能模块</w:t>
            </w:r>
          </w:p>
        </w:tc>
        <w:tc>
          <w:tcPr>
            <w:tcW w:w="3560" w:type="dxa"/>
            <w:tcBorders>
              <w:top w:val="single" w:color="auto" w:sz="4" w:space="0"/>
              <w:left w:val="nil"/>
              <w:bottom w:val="single" w:color="auto" w:sz="4" w:space="0"/>
              <w:right w:val="single" w:color="auto" w:sz="4" w:space="0"/>
            </w:tcBorders>
            <w:shd w:val="clear" w:color="000000" w:fill="F2F2F2"/>
            <w:noWrap/>
            <w:vAlign w:val="center"/>
          </w:tcPr>
          <w:p>
            <w:pPr>
              <w:widowControl/>
              <w:jc w:val="center"/>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二级模块</w:t>
            </w:r>
          </w:p>
        </w:tc>
      </w:tr>
      <w:tr>
        <w:tblPrEx>
          <w:tblLayout w:type="fixed"/>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1</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拉萨市公共资源交易评定分离系统</w:t>
            </w:r>
          </w:p>
        </w:tc>
        <w:tc>
          <w:tcPr>
            <w:tcW w:w="26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电子招标系统</w:t>
            </w: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项目登记</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招标项目</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招标文件</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招标公告发布</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招标文件澄清与修改</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异议答复</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评标结果确认</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中标候选人公示</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中标结果公示</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中标通知书发放</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合同与履约</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电子投标系统</w:t>
            </w: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招标公告</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已参与项目</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文件获取</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招标文件异议与答复</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招标文件澄清</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投标文件制作</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投标文件递交</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保证金缴纳</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项目开标</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评标质疑</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中标候选人公示</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评标结果异议及答复</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中标结果公示</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中标通知书</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合同与履约</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电子开标系统</w:t>
            </w: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开标大厅</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开标倒计时</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投标情况公布</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开标唱标</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评标系数抽取</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导入评标数据</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开标确认</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开标流标</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开标异议</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AI辅助评标系统</w:t>
            </w: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项目概览</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文件异常检测</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初步评审（AI评）</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详细评审（AI评）</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评标报告</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辅助功能-技术标关键字检索</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辅助功能-暗标文本样式分析</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辅助功能-工程量对比</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辅助功能-得分确认</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辅助功能-文件查看</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辅助功能-结果复核</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定标系统</w:t>
            </w: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定标会议预约</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定标会议主持</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定标委员会组建</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定标监督小组组建</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定标委员会组长推荐</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定标资料查阅</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定标记录</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汇总定标结果</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定标报告</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定标监督</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定标会商</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定标资料归档</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自助查询机</w:t>
            </w: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交易主体信息查询</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当日开标项目信息查询</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当日评审的项目信息查询</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交易引导服务</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交易评标报告查询</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1"/>
                <w:szCs w:val="21"/>
                <w:lang w:val="en-US" w:eastAsia="zh-CN" w:bidi="ar-SA"/>
                <w14:ligatures w14:val="none"/>
              </w:rPr>
            </w:pPr>
            <w:r>
              <w:rPr>
                <w:rFonts w:hint="eastAsia" w:ascii="仿宋" w:hAnsi="仿宋" w:eastAsia="仿宋" w:cs="宋体"/>
                <w:color w:val="000000"/>
                <w:kern w:val="0"/>
                <w:szCs w:val="21"/>
                <w14:ligatures w14:val="none"/>
              </w:rPr>
              <w:t>监管平台</w:t>
            </w:r>
          </w:p>
        </w:tc>
        <w:tc>
          <w:tcPr>
            <w:tcW w:w="3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系统管理</w:t>
            </w:r>
          </w:p>
        </w:tc>
      </w:tr>
      <w:tr>
        <w:tblPrEx>
          <w:tblLayout w:type="fixed"/>
          <w:tblCellMar>
            <w:top w:w="0" w:type="dxa"/>
            <w:left w:w="108" w:type="dxa"/>
            <w:bottom w:w="0" w:type="dxa"/>
            <w:right w:w="108" w:type="dxa"/>
          </w:tblCellMar>
        </w:tblPrEx>
        <w:trPr>
          <w:trHeight w:val="283"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监督管理</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审批管理</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监督应用</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统计分析</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智能预警</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3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14:ligatures w14:val="none"/>
              </w:rPr>
            </w:pPr>
            <w:r>
              <w:rPr>
                <w:rFonts w:hint="eastAsia" w:ascii="仿宋" w:hAnsi="仿宋" w:eastAsia="仿宋" w:cs="宋体"/>
                <w:color w:val="000000"/>
                <w:kern w:val="0"/>
                <w:szCs w:val="21"/>
                <w14:ligatures w14:val="none"/>
              </w:rPr>
              <w:t>黑名单</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14:ligatures w14:val="none"/>
              </w:rPr>
            </w:pPr>
          </w:p>
        </w:tc>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color w:val="000000"/>
                <w:kern w:val="0"/>
                <w:szCs w:val="21"/>
                <w:lang w:val="en-US" w:eastAsia="zh-CN"/>
                <w14:ligatures w14:val="none"/>
              </w:rPr>
            </w:pPr>
            <w:r>
              <w:rPr>
                <w:rFonts w:hint="eastAsia" w:ascii="仿宋" w:hAnsi="仿宋" w:eastAsia="仿宋" w:cs="宋体"/>
                <w:color w:val="000000"/>
                <w:kern w:val="0"/>
                <w:szCs w:val="21"/>
                <w:lang w:val="en-US" w:eastAsia="zh-CN"/>
                <w14:ligatures w14:val="none"/>
              </w:rPr>
              <w:t>远程异地评标</w:t>
            </w:r>
          </w:p>
        </w:tc>
        <w:tc>
          <w:tcPr>
            <w:tcW w:w="3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仿宋" w:hAnsi="仿宋" w:eastAsia="仿宋" w:cs="宋体"/>
                <w:color w:val="000000"/>
                <w:kern w:val="0"/>
                <w:szCs w:val="21"/>
                <w:lang w:val="en-US"/>
                <w14:ligatures w14:val="none"/>
              </w:rPr>
            </w:pPr>
            <w:r>
              <w:rPr>
                <w:rFonts w:hint="eastAsia" w:ascii="仿宋" w:hAnsi="仿宋" w:eastAsia="仿宋" w:cs="宋体"/>
                <w:color w:val="000000"/>
                <w:kern w:val="0"/>
                <w:szCs w:val="21"/>
                <w:lang w:val="en-US" w:eastAsia="zh-CN"/>
                <w14:ligatures w14:val="none"/>
              </w:rPr>
              <w:t>交易系统支持远程异地评标并与相关系统联动</w:t>
            </w:r>
          </w:p>
        </w:tc>
      </w:tr>
    </w:tbl>
    <w:p>
      <w:pPr>
        <w:pStyle w:val="10"/>
        <w:numPr>
          <w:ilvl w:val="0"/>
          <w:numId w:val="0"/>
        </w:numPr>
        <w:spacing w:line="360" w:lineRule="auto"/>
        <w:ind w:leftChars="0" w:firstLine="482" w:firstLineChars="200"/>
        <w:outlineLvl w:val="2"/>
        <w:rPr>
          <w:rFonts w:ascii="仿宋" w:hAnsi="仿宋" w:eastAsia="仿宋"/>
          <w:b/>
          <w:sz w:val="24"/>
          <w:szCs w:val="24"/>
          <w:lang w:eastAsia="zh-CN"/>
        </w:rPr>
      </w:pPr>
      <w:r>
        <w:rPr>
          <w:rFonts w:hint="eastAsia" w:ascii="仿宋" w:hAnsi="仿宋" w:eastAsia="仿宋"/>
          <w:b/>
          <w:sz w:val="24"/>
          <w:szCs w:val="24"/>
          <w:lang w:val="en-US" w:eastAsia="zh-CN"/>
        </w:rPr>
        <w:t>2.</w:t>
      </w:r>
      <w:r>
        <w:rPr>
          <w:rFonts w:ascii="仿宋" w:hAnsi="仿宋" w:eastAsia="仿宋"/>
          <w:b/>
          <w:sz w:val="24"/>
          <w:szCs w:val="24"/>
          <w:lang w:eastAsia="zh-CN"/>
        </w:rPr>
        <w:t>硬件部分</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313"/>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tcPr>
          <w:p>
            <w:pPr>
              <w:spacing w:line="360" w:lineRule="auto"/>
              <w:jc w:val="center"/>
              <w:rPr>
                <w:rFonts w:hint="eastAsia" w:ascii="宋体" w:hAnsi="宋体" w:cs="宋体"/>
              </w:rPr>
            </w:pPr>
            <w:r>
              <w:rPr>
                <w:rFonts w:hint="eastAsia" w:ascii="宋体" w:hAnsi="宋体" w:cs="宋体"/>
              </w:rPr>
              <w:t>序号</w:t>
            </w:r>
          </w:p>
        </w:tc>
        <w:tc>
          <w:tcPr>
            <w:tcW w:w="3313" w:type="dxa"/>
          </w:tcPr>
          <w:p>
            <w:pPr>
              <w:spacing w:line="360" w:lineRule="auto"/>
              <w:jc w:val="center"/>
              <w:rPr>
                <w:rFonts w:hint="eastAsia" w:ascii="宋体" w:hAnsi="宋体" w:cs="宋体"/>
              </w:rPr>
            </w:pPr>
            <w:r>
              <w:rPr>
                <w:rFonts w:hint="eastAsia" w:ascii="宋体" w:hAnsi="宋体" w:cs="宋体"/>
              </w:rPr>
              <w:t>产品参数</w:t>
            </w:r>
          </w:p>
        </w:tc>
        <w:tc>
          <w:tcPr>
            <w:tcW w:w="2130" w:type="dxa"/>
          </w:tcPr>
          <w:p>
            <w:pPr>
              <w:spacing w:line="360" w:lineRule="auto"/>
              <w:jc w:val="center"/>
              <w:rPr>
                <w:rFonts w:hint="eastAsia" w:ascii="宋体" w:hAnsi="宋体" w:cs="宋体"/>
              </w:rPr>
            </w:pPr>
            <w:r>
              <w:rPr>
                <w:rFonts w:hint="eastAsia" w:ascii="宋体" w:hAnsi="宋体" w:cs="宋体"/>
              </w:rPr>
              <w:t>尺寸</w:t>
            </w:r>
          </w:p>
        </w:tc>
        <w:tc>
          <w:tcPr>
            <w:tcW w:w="2130" w:type="dxa"/>
          </w:tcPr>
          <w:p>
            <w:pPr>
              <w:spacing w:line="360" w:lineRule="auto"/>
              <w:jc w:val="center"/>
              <w:rPr>
                <w:rFonts w:hint="eastAsia" w:ascii="宋体" w:hAnsi="宋体" w:cs="宋体"/>
              </w:rPr>
            </w:pPr>
            <w:r>
              <w:rPr>
                <w:rFonts w:hint="eastAsia" w:ascii="宋体" w:hAnsi="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vAlign w:val="center"/>
          </w:tcPr>
          <w:p>
            <w:pPr>
              <w:spacing w:line="360" w:lineRule="auto"/>
              <w:jc w:val="center"/>
              <w:rPr>
                <w:rFonts w:hint="eastAsia" w:ascii="宋体" w:hAnsi="宋体" w:cs="宋体"/>
              </w:rPr>
            </w:pPr>
            <w:r>
              <w:rPr>
                <w:rFonts w:hint="eastAsia" w:ascii="宋体" w:hAnsi="宋体" w:cs="宋体"/>
              </w:rPr>
              <w:t>1</w:t>
            </w:r>
          </w:p>
        </w:tc>
        <w:tc>
          <w:tcPr>
            <w:tcW w:w="3313" w:type="dxa"/>
            <w:vAlign w:val="center"/>
          </w:tcPr>
          <w:p>
            <w:pPr>
              <w:spacing w:line="360" w:lineRule="auto"/>
              <w:jc w:val="center"/>
              <w:rPr>
                <w:rFonts w:hint="eastAsia" w:ascii="宋体" w:hAnsi="宋体" w:cs="宋体"/>
              </w:rPr>
            </w:pPr>
            <w:r>
              <w:rPr>
                <w:rFonts w:hint="eastAsia" w:ascii="宋体" w:hAnsi="宋体" w:cs="宋体"/>
                <w:lang w:val="en-US" w:eastAsia="zh-CN"/>
              </w:rPr>
              <w:t>自助查询机：</w:t>
            </w:r>
            <w:r>
              <w:rPr>
                <w:rFonts w:hint="eastAsia" w:ascii="宋体" w:hAnsi="宋体" w:cs="宋体"/>
              </w:rPr>
              <w:t>ISP高清屏、多点触摸、远程触控、查询功能、人机交互、内置扬声器、内置Wifi、分辨率1080P、USB接口、网络接口、HDMI</w:t>
            </w:r>
          </w:p>
        </w:tc>
        <w:tc>
          <w:tcPr>
            <w:tcW w:w="2130" w:type="dxa"/>
            <w:vAlign w:val="center"/>
          </w:tcPr>
          <w:p>
            <w:pPr>
              <w:spacing w:line="360" w:lineRule="auto"/>
              <w:jc w:val="center"/>
              <w:rPr>
                <w:rFonts w:hint="default" w:ascii="宋体" w:hAnsi="宋体" w:cs="宋体" w:eastAsiaTheme="minorEastAsia"/>
                <w:lang w:val="en-US" w:eastAsia="zh-CN"/>
              </w:rPr>
            </w:pPr>
            <w:r>
              <w:rPr>
                <w:rFonts w:hint="eastAsia" w:ascii="宋体" w:hAnsi="宋体" w:cs="宋体"/>
                <w:lang w:val="en-US" w:eastAsia="zh-CN"/>
              </w:rPr>
              <w:t>58寸左右</w:t>
            </w:r>
          </w:p>
        </w:tc>
        <w:tc>
          <w:tcPr>
            <w:tcW w:w="2130" w:type="dxa"/>
            <w:vAlign w:val="center"/>
          </w:tcPr>
          <w:p>
            <w:pPr>
              <w:spacing w:line="360" w:lineRule="auto"/>
              <w:jc w:val="center"/>
              <w:rPr>
                <w:rFonts w:hint="eastAsia" w:ascii="宋体" w:hAnsi="宋体" w:cs="宋体"/>
              </w:rPr>
            </w:pPr>
            <w:r>
              <w:rPr>
                <w:rFonts w:hint="eastAsia" w:ascii="宋体" w:hAnsi="宋体" w:cs="宋体"/>
              </w:rPr>
              <w:t>1</w:t>
            </w:r>
          </w:p>
        </w:tc>
      </w:tr>
    </w:tbl>
    <w:p>
      <w:pPr>
        <w:pStyle w:val="10"/>
        <w:numPr>
          <w:ilvl w:val="0"/>
          <w:numId w:val="0"/>
        </w:numPr>
        <w:spacing w:line="360" w:lineRule="auto"/>
        <w:ind w:leftChars="0" w:firstLine="482" w:firstLineChars="200"/>
        <w:outlineLvl w:val="2"/>
        <w:rPr>
          <w:rFonts w:ascii="仿宋" w:hAnsi="仿宋" w:eastAsia="仿宋"/>
          <w:b/>
          <w:sz w:val="24"/>
          <w:szCs w:val="24"/>
          <w:lang w:eastAsia="zh-CN"/>
        </w:rPr>
      </w:pPr>
      <w:r>
        <w:rPr>
          <w:rFonts w:hint="eastAsia" w:ascii="仿宋" w:hAnsi="仿宋" w:eastAsia="仿宋"/>
          <w:b/>
          <w:sz w:val="24"/>
          <w:szCs w:val="24"/>
          <w:lang w:val="en-US" w:eastAsia="zh-CN"/>
        </w:rPr>
        <w:t>3.</w:t>
      </w:r>
      <w:r>
        <w:rPr>
          <w:rFonts w:ascii="仿宋" w:hAnsi="仿宋" w:eastAsia="仿宋"/>
          <w:b/>
          <w:sz w:val="24"/>
          <w:szCs w:val="24"/>
          <w:lang w:eastAsia="zh-CN"/>
        </w:rPr>
        <w:t>服务器资源</w:t>
      </w:r>
      <w:r>
        <w:rPr>
          <w:rFonts w:hint="eastAsia" w:ascii="仿宋" w:hAnsi="仿宋" w:eastAsia="仿宋"/>
          <w:b/>
          <w:sz w:val="24"/>
          <w:szCs w:val="24"/>
          <w:lang w:eastAsia="zh-CN"/>
        </w:rPr>
        <w:t>（</w:t>
      </w:r>
      <w:r>
        <w:rPr>
          <w:rFonts w:hint="eastAsia" w:ascii="仿宋" w:hAnsi="仿宋" w:eastAsia="仿宋"/>
          <w:b/>
          <w:sz w:val="24"/>
          <w:szCs w:val="24"/>
          <w:lang w:val="en-US" w:eastAsia="zh-CN"/>
        </w:rPr>
        <w:t>按照拉萨市大数据局分配资源为准</w:t>
      </w:r>
      <w:r>
        <w:rPr>
          <w:rFonts w:hint="eastAsia" w:ascii="仿宋" w:hAnsi="仿宋" w:eastAsia="仿宋"/>
          <w:b/>
          <w:sz w:val="24"/>
          <w:szCs w:val="24"/>
          <w:lang w:eastAsia="zh-CN"/>
        </w:rPr>
        <w:t>）</w:t>
      </w:r>
    </w:p>
    <w:tbl>
      <w:tblPr>
        <w:tblStyle w:val="6"/>
        <w:tblW w:w="8522" w:type="dxa"/>
        <w:tblInd w:w="0" w:type="dxa"/>
        <w:tblLayout w:type="fixed"/>
        <w:tblCellMar>
          <w:top w:w="0" w:type="dxa"/>
          <w:left w:w="108" w:type="dxa"/>
          <w:bottom w:w="0" w:type="dxa"/>
          <w:right w:w="108" w:type="dxa"/>
        </w:tblCellMar>
      </w:tblPr>
      <w:tblGrid>
        <w:gridCol w:w="1812"/>
        <w:gridCol w:w="3630"/>
        <w:gridCol w:w="1192"/>
        <w:gridCol w:w="1888"/>
      </w:tblGrid>
      <w:tr>
        <w:tblPrEx>
          <w:tblLayout w:type="fixed"/>
          <w:tblCellMar>
            <w:top w:w="0" w:type="dxa"/>
            <w:left w:w="108" w:type="dxa"/>
            <w:bottom w:w="0" w:type="dxa"/>
            <w:right w:w="108" w:type="dxa"/>
          </w:tblCellMar>
        </w:tblPrEx>
        <w:trPr>
          <w:trHeight w:val="289" w:hRule="atLeast"/>
        </w:trPr>
        <w:tc>
          <w:tcPr>
            <w:tcW w:w="1812" w:type="dxa"/>
            <w:tcBorders>
              <w:top w:val="single" w:color="000000" w:sz="4" w:space="0"/>
              <w:left w:val="single" w:color="000000" w:sz="4" w:space="0"/>
              <w:bottom w:val="single" w:color="000000" w:sz="4" w:space="0"/>
              <w:right w:val="single" w:color="000000" w:sz="4" w:space="0"/>
            </w:tcBorders>
            <w:shd w:val="clear" w:color="000000" w:fill="F2F2F2"/>
            <w:noWrap/>
            <w:vAlign w:val="center"/>
          </w:tcPr>
          <w:p>
            <w:pPr>
              <w:widowControl/>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资源类别</w:t>
            </w:r>
          </w:p>
        </w:tc>
        <w:tc>
          <w:tcPr>
            <w:tcW w:w="3630" w:type="dxa"/>
            <w:tcBorders>
              <w:top w:val="single" w:color="000000" w:sz="4" w:space="0"/>
              <w:left w:val="nil"/>
              <w:bottom w:val="single" w:color="000000" w:sz="4" w:space="0"/>
              <w:right w:val="single" w:color="000000" w:sz="4" w:space="0"/>
            </w:tcBorders>
            <w:shd w:val="clear" w:color="000000" w:fill="F2F2F2"/>
            <w:noWrap/>
            <w:vAlign w:val="center"/>
          </w:tcPr>
          <w:p>
            <w:pPr>
              <w:widowControl/>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配置规格</w:t>
            </w:r>
          </w:p>
        </w:tc>
        <w:tc>
          <w:tcPr>
            <w:tcW w:w="1192" w:type="dxa"/>
            <w:tcBorders>
              <w:top w:val="single" w:color="000000" w:sz="4" w:space="0"/>
              <w:left w:val="nil"/>
              <w:bottom w:val="single" w:color="000000" w:sz="4" w:space="0"/>
              <w:right w:val="single" w:color="000000" w:sz="4" w:space="0"/>
            </w:tcBorders>
            <w:shd w:val="clear" w:color="000000" w:fill="F2F2F2"/>
            <w:noWrap/>
            <w:vAlign w:val="center"/>
          </w:tcPr>
          <w:p>
            <w:pPr>
              <w:widowControl/>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数量</w:t>
            </w:r>
          </w:p>
        </w:tc>
        <w:tc>
          <w:tcPr>
            <w:tcW w:w="1888" w:type="dxa"/>
            <w:tcBorders>
              <w:top w:val="single" w:color="000000" w:sz="4" w:space="0"/>
              <w:left w:val="nil"/>
              <w:bottom w:val="single" w:color="000000" w:sz="4" w:space="0"/>
              <w:right w:val="single" w:color="000000" w:sz="4" w:space="0"/>
            </w:tcBorders>
            <w:shd w:val="clear" w:color="000000" w:fill="F2F2F2"/>
            <w:noWrap/>
            <w:vAlign w:val="center"/>
          </w:tcPr>
          <w:p>
            <w:pPr>
              <w:widowControl/>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备注</w:t>
            </w:r>
          </w:p>
        </w:tc>
      </w:tr>
      <w:tr>
        <w:tblPrEx>
          <w:tblLayout w:type="fixed"/>
          <w:tblCellMar>
            <w:top w:w="0" w:type="dxa"/>
            <w:left w:w="108" w:type="dxa"/>
            <w:bottom w:w="0" w:type="dxa"/>
            <w:right w:w="108" w:type="dxa"/>
          </w:tblCellMar>
        </w:tblPrEx>
        <w:trPr>
          <w:trHeight w:val="1935" w:hRule="atLeast"/>
        </w:trPr>
        <w:tc>
          <w:tcPr>
            <w:tcW w:w="181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等线" w:hAnsi="宋体" w:eastAsia="等线" w:cs="宋体"/>
                <w:b/>
                <w:bCs/>
                <w:color w:val="000000"/>
                <w:kern w:val="0"/>
                <w:sz w:val="20"/>
                <w:szCs w:val="20"/>
              </w:rPr>
            </w:pPr>
            <w:r>
              <w:rPr>
                <w:rFonts w:hint="eastAsia" w:ascii="等线" w:hAnsi="宋体" w:eastAsia="等线" w:cs="宋体"/>
                <w:b/>
                <w:bCs/>
                <w:color w:val="000000"/>
                <w:kern w:val="0"/>
                <w:sz w:val="20"/>
                <w:szCs w:val="20"/>
              </w:rPr>
              <w:t>服务器</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cpu(核）：8</w:t>
            </w:r>
          </w:p>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内存(GB)：16</w:t>
            </w:r>
          </w:p>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系统盘(GB):100</w:t>
            </w:r>
          </w:p>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数据盘(GB):500</w:t>
            </w:r>
          </w:p>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操作系统：龙蜥7.9 内核4.18.80</w:t>
            </w:r>
          </w:p>
        </w:tc>
        <w:tc>
          <w:tcPr>
            <w:tcW w:w="11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等线" w:hAnsi="宋体" w:eastAsia="等线" w:cs="宋体"/>
                <w:b/>
                <w:bCs/>
                <w:color w:val="000000"/>
                <w:kern w:val="0"/>
                <w:sz w:val="20"/>
                <w:szCs w:val="20"/>
              </w:rPr>
            </w:pPr>
            <w:r>
              <w:rPr>
                <w:rFonts w:hint="eastAsia" w:ascii="等线" w:hAnsi="宋体" w:eastAsia="等线" w:cs="宋体"/>
                <w:b/>
                <w:bCs/>
                <w:color w:val="000000"/>
                <w:kern w:val="0"/>
                <w:sz w:val="20"/>
                <w:szCs w:val="20"/>
              </w:rPr>
              <w:t>13</w:t>
            </w:r>
          </w:p>
        </w:tc>
        <w:tc>
          <w:tcPr>
            <w:tcW w:w="188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等线" w:hAnsi="宋体" w:eastAsia="等线" w:cs="宋体"/>
                <w:color w:val="000000"/>
                <w:kern w:val="0"/>
                <w:sz w:val="20"/>
                <w:szCs w:val="20"/>
              </w:rPr>
            </w:pPr>
          </w:p>
        </w:tc>
      </w:tr>
      <w:tr>
        <w:tblPrEx>
          <w:tblLayout w:type="fixed"/>
          <w:tblCellMar>
            <w:top w:w="0" w:type="dxa"/>
            <w:left w:w="108" w:type="dxa"/>
            <w:bottom w:w="0" w:type="dxa"/>
            <w:right w:w="108" w:type="dxa"/>
          </w:tblCellMar>
        </w:tblPrEx>
        <w:trPr>
          <w:trHeight w:val="2220" w:hRule="atLeast"/>
        </w:trPr>
        <w:tc>
          <w:tcPr>
            <w:tcW w:w="181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等线" w:hAnsi="宋体" w:eastAsia="等线" w:cs="宋体"/>
                <w:b/>
                <w:bCs/>
                <w:color w:val="000000"/>
                <w:kern w:val="0"/>
                <w:sz w:val="20"/>
                <w:szCs w:val="20"/>
              </w:rPr>
            </w:pPr>
            <w:r>
              <w:rPr>
                <w:rFonts w:hint="eastAsia" w:ascii="等线" w:hAnsi="宋体" w:eastAsia="等线" w:cs="宋体"/>
                <w:b/>
                <w:bCs/>
                <w:color w:val="000000"/>
                <w:kern w:val="0"/>
                <w:sz w:val="20"/>
                <w:szCs w:val="20"/>
              </w:rPr>
              <w:t>数据库</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cpu(核）：16</w:t>
            </w:r>
          </w:p>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内存(GB)：32</w:t>
            </w:r>
          </w:p>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系统盘(GB):100</w:t>
            </w:r>
          </w:p>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数据盘(GB):500</w:t>
            </w:r>
          </w:p>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操作系统：龙蜥7.9 内核4.18.80</w:t>
            </w:r>
          </w:p>
        </w:tc>
        <w:tc>
          <w:tcPr>
            <w:tcW w:w="11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等线" w:hAnsi="宋体" w:eastAsia="等线" w:cs="宋体"/>
                <w:b/>
                <w:bCs/>
                <w:color w:val="000000"/>
                <w:kern w:val="0"/>
                <w:sz w:val="20"/>
                <w:szCs w:val="20"/>
              </w:rPr>
            </w:pPr>
            <w:r>
              <w:rPr>
                <w:rFonts w:hint="eastAsia" w:ascii="等线" w:hAnsi="宋体" w:eastAsia="等线" w:cs="宋体"/>
                <w:b/>
                <w:bCs/>
                <w:color w:val="000000"/>
                <w:kern w:val="0"/>
                <w:sz w:val="20"/>
                <w:szCs w:val="20"/>
              </w:rPr>
              <w:t>3</w:t>
            </w:r>
          </w:p>
        </w:tc>
        <w:tc>
          <w:tcPr>
            <w:tcW w:w="188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等线" w:hAnsi="宋体" w:eastAsia="等线" w:cs="宋体"/>
                <w:color w:val="000000"/>
                <w:kern w:val="0"/>
                <w:sz w:val="20"/>
                <w:szCs w:val="20"/>
              </w:rPr>
            </w:pPr>
          </w:p>
        </w:tc>
      </w:tr>
      <w:tr>
        <w:tblPrEx>
          <w:tblLayout w:type="fixed"/>
          <w:tblCellMar>
            <w:top w:w="0" w:type="dxa"/>
            <w:left w:w="108" w:type="dxa"/>
            <w:bottom w:w="0" w:type="dxa"/>
            <w:right w:w="108" w:type="dxa"/>
          </w:tblCellMar>
        </w:tblPrEx>
        <w:trPr>
          <w:trHeight w:val="83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等线" w:hAnsi="宋体" w:eastAsia="等线" w:cs="宋体"/>
                <w:b/>
                <w:bCs/>
                <w:color w:val="000000"/>
                <w:kern w:val="0"/>
                <w:sz w:val="20"/>
                <w:szCs w:val="20"/>
              </w:rPr>
            </w:pPr>
            <w:r>
              <w:rPr>
                <w:rFonts w:hint="eastAsia" w:ascii="等线" w:hAnsi="宋体" w:eastAsia="等线" w:cs="宋体"/>
                <w:b/>
                <w:bCs/>
                <w:color w:val="000000"/>
                <w:kern w:val="0"/>
                <w:sz w:val="20"/>
                <w:szCs w:val="20"/>
              </w:rPr>
              <w:t>高速磁盘</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2T</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等线" w:hAnsi="宋体" w:eastAsia="等线" w:cs="宋体"/>
                <w:b/>
                <w:bCs/>
                <w:color w:val="000000"/>
                <w:kern w:val="0"/>
                <w:sz w:val="20"/>
                <w:szCs w:val="20"/>
              </w:rPr>
            </w:pPr>
            <w:r>
              <w:rPr>
                <w:rFonts w:hint="eastAsia" w:ascii="等线" w:hAnsi="宋体" w:eastAsia="等线" w:cs="宋体"/>
                <w:b/>
                <w:bCs/>
                <w:color w:val="000000"/>
                <w:kern w:val="0"/>
                <w:sz w:val="20"/>
                <w:szCs w:val="20"/>
              </w:rPr>
              <w:t>1　</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等线" w:hAnsi="宋体" w:eastAsia="等线" w:cs="宋体"/>
                <w:color w:val="000000"/>
                <w:kern w:val="0"/>
                <w:sz w:val="20"/>
                <w:szCs w:val="20"/>
              </w:rPr>
            </w:pPr>
          </w:p>
        </w:tc>
      </w:tr>
      <w:tr>
        <w:tblPrEx>
          <w:tblLayout w:type="fixed"/>
          <w:tblCellMar>
            <w:top w:w="0" w:type="dxa"/>
            <w:left w:w="108" w:type="dxa"/>
            <w:bottom w:w="0" w:type="dxa"/>
            <w:right w:w="108" w:type="dxa"/>
          </w:tblCellMar>
        </w:tblPrEx>
        <w:trPr>
          <w:trHeight w:val="83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等线" w:hAnsi="宋体" w:eastAsia="等线" w:cs="宋体"/>
                <w:b/>
                <w:bCs/>
                <w:color w:val="000000"/>
                <w:kern w:val="0"/>
                <w:sz w:val="20"/>
                <w:szCs w:val="20"/>
              </w:rPr>
            </w:pPr>
            <w:r>
              <w:rPr>
                <w:rFonts w:hint="eastAsia" w:ascii="等线" w:hAnsi="宋体" w:eastAsia="等线" w:cs="宋体"/>
                <w:b/>
                <w:bCs/>
                <w:color w:val="000000"/>
                <w:kern w:val="0"/>
                <w:sz w:val="20"/>
                <w:szCs w:val="20"/>
              </w:rPr>
              <w:t>磁盘阵列</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等线" w:hAnsi="宋体" w:eastAsia="等线" w:cs="宋体"/>
                <w:color w:val="000000"/>
                <w:kern w:val="0"/>
                <w:sz w:val="20"/>
                <w:szCs w:val="20"/>
              </w:rPr>
            </w:pPr>
            <w:r>
              <w:rPr>
                <w:rFonts w:hint="eastAsia" w:ascii="等线" w:hAnsi="宋体" w:eastAsia="等线" w:cs="宋体"/>
                <w:color w:val="000000"/>
                <w:kern w:val="0"/>
                <w:sz w:val="20"/>
                <w:szCs w:val="20"/>
              </w:rPr>
              <w:t>6T</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等线" w:hAnsi="宋体" w:eastAsia="等线" w:cs="宋体"/>
                <w:b/>
                <w:bCs/>
                <w:color w:val="000000"/>
                <w:kern w:val="0"/>
                <w:sz w:val="20"/>
                <w:szCs w:val="20"/>
              </w:rPr>
            </w:pPr>
            <w:r>
              <w:rPr>
                <w:rFonts w:hint="eastAsia" w:ascii="等线" w:hAnsi="宋体" w:eastAsia="等线" w:cs="宋体"/>
                <w:b/>
                <w:bCs/>
                <w:color w:val="000000"/>
                <w:kern w:val="0"/>
                <w:sz w:val="20"/>
                <w:szCs w:val="20"/>
              </w:rPr>
              <w:t>1</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等线" w:hAnsi="宋体" w:eastAsia="等线" w:cs="宋体"/>
                <w:color w:val="000000"/>
                <w:kern w:val="0"/>
                <w:sz w:val="20"/>
                <w:szCs w:val="20"/>
              </w:rPr>
            </w:pPr>
          </w:p>
        </w:tc>
      </w:tr>
    </w:tbl>
    <w:p>
      <w:pPr>
        <w:pStyle w:val="10"/>
        <w:numPr>
          <w:ilvl w:val="0"/>
          <w:numId w:val="0"/>
        </w:numPr>
        <w:spacing w:line="360" w:lineRule="auto"/>
        <w:ind w:leftChars="0" w:firstLine="482" w:firstLineChars="200"/>
        <w:outlineLvl w:val="2"/>
        <w:rPr>
          <w:rFonts w:ascii="仿宋" w:hAnsi="仿宋" w:eastAsia="仿宋"/>
          <w:b/>
          <w:sz w:val="24"/>
          <w:szCs w:val="24"/>
          <w:lang w:eastAsia="zh-CN"/>
        </w:rPr>
      </w:pPr>
      <w:r>
        <w:rPr>
          <w:rFonts w:hint="eastAsia" w:ascii="仿宋" w:hAnsi="仿宋" w:eastAsia="仿宋"/>
          <w:b/>
          <w:sz w:val="24"/>
          <w:szCs w:val="24"/>
          <w:lang w:eastAsia="zh-CN"/>
        </w:rPr>
        <w:t>（</w:t>
      </w:r>
      <w:r>
        <w:rPr>
          <w:rFonts w:hint="eastAsia" w:ascii="仿宋" w:hAnsi="仿宋" w:eastAsia="仿宋"/>
          <w:b/>
          <w:sz w:val="24"/>
          <w:szCs w:val="24"/>
          <w:lang w:val="en-US" w:eastAsia="zh-CN"/>
        </w:rPr>
        <w:t>三</w:t>
      </w:r>
      <w:r>
        <w:rPr>
          <w:rFonts w:hint="eastAsia" w:ascii="仿宋" w:hAnsi="仿宋" w:eastAsia="仿宋"/>
          <w:b/>
          <w:sz w:val="24"/>
          <w:szCs w:val="24"/>
          <w:lang w:eastAsia="zh-CN"/>
        </w:rPr>
        <w:t>）</w:t>
      </w:r>
      <w:r>
        <w:rPr>
          <w:rFonts w:ascii="仿宋" w:hAnsi="仿宋" w:eastAsia="仿宋"/>
          <w:b/>
          <w:sz w:val="24"/>
          <w:szCs w:val="24"/>
          <w:lang w:eastAsia="zh-CN"/>
        </w:rPr>
        <w:t>服务要求</w:t>
      </w:r>
    </w:p>
    <w:p>
      <w:pPr>
        <w:widowControl/>
        <w:spacing w:line="360" w:lineRule="auto"/>
        <w:jc w:val="left"/>
        <w:rPr>
          <w:rFonts w:hint="eastAsia" w:ascii="仿宋" w:hAnsi="仿宋" w:eastAsia="仿宋" w:cs="Times New Roman"/>
          <w:kern w:val="0"/>
          <w:sz w:val="24"/>
          <w:szCs w:val="24"/>
          <w:lang w:eastAsia="zh-Hans"/>
          <w14:ligatures w14:val="none"/>
        </w:rPr>
      </w:pPr>
      <w:r>
        <w:rPr>
          <w:rFonts w:hint="eastAsia" w:ascii="仿宋" w:hAnsi="仿宋" w:eastAsia="仿宋" w:cs="Times New Roman"/>
          <w:kern w:val="0"/>
          <w:sz w:val="24"/>
          <w:szCs w:val="24"/>
          <w:lang w:eastAsia="zh-Hans"/>
          <w14:ligatures w14:val="none"/>
        </w:rPr>
        <w:t>标的名称：拉萨市公共资源交易中心评定分离</w:t>
      </w:r>
      <w:r>
        <w:rPr>
          <w:rFonts w:hint="eastAsia" w:ascii="仿宋" w:hAnsi="仿宋" w:eastAsia="仿宋" w:cs="Times New Roman"/>
          <w:kern w:val="0"/>
          <w:sz w:val="24"/>
          <w:szCs w:val="24"/>
          <w:lang w:val="en-US" w:eastAsia="zh-CN"/>
          <w14:ligatures w14:val="none"/>
        </w:rPr>
        <w:t>智慧</w:t>
      </w:r>
      <w:r>
        <w:rPr>
          <w:rFonts w:hint="eastAsia" w:ascii="仿宋" w:hAnsi="仿宋" w:eastAsia="仿宋" w:cs="Times New Roman"/>
          <w:kern w:val="0"/>
          <w:sz w:val="24"/>
          <w:szCs w:val="24"/>
          <w:lang w:eastAsia="zh-Hans"/>
          <w14:ligatures w14:val="none"/>
        </w:rPr>
        <w:t>交易系统</w:t>
      </w:r>
    </w:p>
    <w:tbl>
      <w:tblPr>
        <w:tblStyle w:val="6"/>
        <w:tblW w:w="8522" w:type="dxa"/>
        <w:tblInd w:w="0" w:type="dxa"/>
        <w:tblLayout w:type="fixed"/>
        <w:tblCellMar>
          <w:top w:w="0" w:type="dxa"/>
          <w:left w:w="108" w:type="dxa"/>
          <w:bottom w:w="0" w:type="dxa"/>
          <w:right w:w="108" w:type="dxa"/>
        </w:tblCellMar>
      </w:tblPr>
      <w:tblGrid>
        <w:gridCol w:w="696"/>
        <w:gridCol w:w="1956"/>
        <w:gridCol w:w="3782"/>
        <w:gridCol w:w="696"/>
        <w:gridCol w:w="696"/>
        <w:gridCol w:w="696"/>
      </w:tblGrid>
      <w:tr>
        <w:tblPrEx>
          <w:tblLayout w:type="fixed"/>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序号</w:t>
            </w:r>
          </w:p>
        </w:tc>
        <w:tc>
          <w:tcPr>
            <w:tcW w:w="195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采购货物名称</w:t>
            </w:r>
          </w:p>
        </w:tc>
        <w:tc>
          <w:tcPr>
            <w:tcW w:w="378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技术参数（指标）</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数量</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单位</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备注</w:t>
            </w:r>
          </w:p>
        </w:tc>
      </w:tr>
      <w:tr>
        <w:tblPrEx>
          <w:tblLayout w:type="fixed"/>
          <w:tblCellMar>
            <w:top w:w="0" w:type="dxa"/>
            <w:left w:w="108" w:type="dxa"/>
            <w:bottom w:w="0" w:type="dxa"/>
            <w:right w:w="108" w:type="dxa"/>
          </w:tblCellMar>
        </w:tblPrEx>
        <w:trPr>
          <w:trHeight w:val="4845"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19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电子招标系统</w:t>
            </w:r>
          </w:p>
        </w:tc>
        <w:tc>
          <w:tcPr>
            <w:tcW w:w="378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主要涉及项目登记、招标项目划分、招标文件编制、招标公告发布、招标文件澄清与修改、异议答复、电子开标、评标结果确认、中标候选人公示、中标结果公示、中标通知书发放、在线合同签订等功能，需支持房建、市政、交通、水利等行业类别项目实施评定分离。</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1.招标人通过系统与发改项目审批平台获取审批后的项目。</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2. 招标人通过系统进行招标项目创建、标段划分，委托招标的能设定招标项目代理机构职责和权限的功能及招标委托合同的编辑、递交和签署功能。</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3. 按招标文件范本及招标项目信息自动进行编制生成招标文件，招标人或招标代理机构可在此基础上进行招标文件编制完善。</w:t>
            </w:r>
          </w:p>
          <w:p>
            <w:pPr>
              <w:widowControl/>
              <w:numPr>
                <w:ilvl w:val="0"/>
                <w:numId w:val="2"/>
              </w:numPr>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按招标公告模板生成招标公告（含招标邀请书、资格预审公告）。具备对招标公告发布招标暂停、延期、暂停恢复、终止等招标变更类型的公告，并根据不同类型变更公告发布后实现对招标流程控制。系统变更类型分类自动记录相关变更次数。支持对多标段的招标项目按批次发布招标公告，并支持对同一批次下的单个标段发布招标变更类型公告，单个标段的变更不能影响同批次招标公告下的其他标段的招标进程。</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5. 按照招标澄清公告模板生成招标澄清公告，并自动记录澄清次数。</w:t>
            </w:r>
          </w:p>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 按招标异议、开标异议、评标异议在线即时接收、查看投标人的异议功能，并能根据异议问题在线进行答复。</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7. 招标人或代理机构在线确认评标结果，提供对评标结果、评标报告在线查看、复核、电子签章功能，复核结果将反馈至评标委员会，复核不通过的需支持在线说明原因。支持因质疑投诉进行复评，导致评标结果变更，重新对新的评标结果进行确认。系统根据复评次数分别记录每次评标结果，保证评标结果数据按次进行查看。</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8. 评标结果和中标候选人公示模板生成公示内容。支持因质疑投诉导致的中标候选人变更，重新进行中标候选人公示，系统自动记录中标候选人公示次数。</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9. 按中标候选人公示和中标结果公示模板生成公示内容。支持因质疑投诉导致的中标结果变更，重新进行中标结果公示，系统自动记录中标结果公示次数。</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10. 中标结果公示内容和中标通知书发放模板自动生成中标通知书和中标结果通知书。中标通知书发放后，中标人能够查询到中标通知书，末中标人能够查询到中标结果通知书。因质疑投诉导致的中标结果变更，重新发放中标通知书和中标结果通知书。</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11.招标人根据中标通知书和合同公示模板自动生成合同公示内容，并可以根据合同模板自动生成合同。支持对合同履约情况进行记录。</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套</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　</w:t>
            </w:r>
          </w:p>
        </w:tc>
      </w:tr>
      <w:tr>
        <w:tblPrEx>
          <w:tblLayout w:type="fixed"/>
          <w:tblCellMar>
            <w:top w:w="0" w:type="dxa"/>
            <w:left w:w="108" w:type="dxa"/>
            <w:bottom w:w="0" w:type="dxa"/>
            <w:right w:w="108" w:type="dxa"/>
          </w:tblCellMar>
        </w:tblPrEx>
        <w:trPr>
          <w:trHeight w:val="3264"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w:t>
            </w:r>
          </w:p>
        </w:tc>
        <w:tc>
          <w:tcPr>
            <w:tcW w:w="19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电子投标系统</w:t>
            </w:r>
          </w:p>
        </w:tc>
        <w:tc>
          <w:tcPr>
            <w:tcW w:w="378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系统主要涉及投标人查看招标项目信息、资格预审公告、招标公告、获取资格预审文件/招标文件、提出资格预审文件/招标文件异议、资格预审申请文件/投标文件编制、查看资格预审申请文件/招标文件的澄清说明与修正、资格预审申请文件/投标文件编制、资格预审申请文件/投标文件加密、资格预审申请文件/投标文件递交、保证金缴纳、在线参与开标、评标质疑澄清、中标候选人公示查看、评标结果异议提出、中标结果公示查看、中标通知书查看、合同签订等功能。</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1.系统对招标公告、投标邀请书、资格预审公告进行查看，提供查看招标公告详细及其关联公告功能、参与投标、获取招标文件、关注公告功能。</w:t>
            </w:r>
          </w:p>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2.系统自动核验投标人资质信息，包含企业资质与等级、主要管理人员配备是否满足招标项目的资格条件要求，满足资格要求的才能参与投标。</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3.记录投标人已参与招标项目标段情况，投标人可以快捷查看到已参与的项目标段，并进行投标等后续操作。</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4.对已参与招标项目标段的投标人提供资格预审文件/招标文件获取下载功能，并记录其获取息。</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5.对已获取资格预审文件/招标文件的投标人提供资格预审文件/招标文件异议提出功能，支持查看招标人或招标代理机构异议答复。</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6.对已获取资格预审文件/招标文件的投标人进行文件澄清查看，获取澄清后招标文件。</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7.电子投标文件制作功能，并且需与西藏自治区“四库一平台”进行对接，使用西藏自治区“四库一平台”服务能力，完成编制投标文件封面、投标函、法定代表人身份证明、授权委托书、项目管理机构组成表、主要人员简历表、基本情况表、近年财务状况表、近年完成的类似项目情况表、正在施工和新承接的项目情况表、智能评审数据等投标文件内容。文件制作系统具备电子签章、投标文件加密、投标文件解密等功能。</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8.投标文件递交对递交的投标文件进行校验功能，包括但不限于校验投标文件是否为满足要求的加密文件、投标文件是否使用最新版本招标文件进行制作、投标文件管理班子成员是否满足招标文件资格要求、文件安全性检查，并能将校验结果反馈至投标人进行查看。投标文件递交成功的，投标系统应能自动生成递交回执。同时提供撤回投标文件等功能，但需满足招标文件撤回条件的。</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9.支持包括但不限于现金、保险保单、银行保函等方式进行保证金缴纳。需完成拉萨市公共资源交易中心已经支持的银行、保险公司对接，以及备案许可的银行、保险公司接入。</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10.在线进行评标澄清通知回复、评标结果异议提出功能。</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11.在线查看中标候选人公示、中标结果公示、中标通知书在线查看功能。</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12.在线签订项目合同功能，中标人可在此模块进行合同签署及履约情况查看。</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套</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　</w:t>
            </w:r>
          </w:p>
        </w:tc>
      </w:tr>
      <w:tr>
        <w:tblPrEx>
          <w:tblLayout w:type="fixed"/>
          <w:tblCellMar>
            <w:top w:w="0" w:type="dxa"/>
            <w:left w:w="108" w:type="dxa"/>
            <w:bottom w:w="0" w:type="dxa"/>
            <w:right w:w="108" w:type="dxa"/>
          </w:tblCellMar>
        </w:tblPrEx>
        <w:trPr>
          <w:trHeight w:val="1140"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w:t>
            </w:r>
          </w:p>
        </w:tc>
        <w:tc>
          <w:tcPr>
            <w:tcW w:w="19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电子开标系统</w:t>
            </w:r>
          </w:p>
        </w:tc>
        <w:tc>
          <w:tcPr>
            <w:tcW w:w="378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系统主要涉及查看待开标的项目、开标签到、公布投标情况、解密投标文件、解密保证金缴纳信息、开标唱标、评标数据导入、开标数据确认、开标流标、开标异议提出及答复功能。</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1.基准价计算系数抽取功能，招标人或招标代理机构可以根据招标文件要求完成基准价计算系数抽取。</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2.根据开标结果和开标记录报告模板，自动生成开标记录报告。</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3.开标完成后，自动将开标数据推送至评标系统，以便开展评标工作。</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套</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　</w:t>
            </w:r>
          </w:p>
        </w:tc>
      </w:tr>
      <w:tr>
        <w:tblPrEx>
          <w:tblLayout w:type="fixed"/>
          <w:tblCellMar>
            <w:top w:w="0" w:type="dxa"/>
            <w:left w:w="108" w:type="dxa"/>
            <w:bottom w:w="0" w:type="dxa"/>
            <w:right w:w="108" w:type="dxa"/>
          </w:tblCellMar>
        </w:tblPrEx>
        <w:trPr>
          <w:trHeight w:val="1425"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w:t>
            </w:r>
          </w:p>
        </w:tc>
        <w:tc>
          <w:tcPr>
            <w:tcW w:w="19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AI辅助评标系统</w:t>
            </w:r>
          </w:p>
        </w:tc>
        <w:tc>
          <w:tcPr>
            <w:tcW w:w="378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系统需具备按照招标文件要求和投标文件响应内容，根据评审流程实现AI自动分析评审，AI自动评审主要流程分为初步评审、详细评审、评审委员会复核，AI辅助评标需完成整个评标流程并产AI辅助评标结果，评标委员会专家对AI辅助评标结果进行复核，AI辅助评标系统自动汇总评标专家复核结果，复核完成后系统根据招标文件要求数量自动推荐中标候选人并生成评标报告，其中所推荐的中标候选人不进行排名。评标专家对评标报告进行电子签章，提交至招标人或招标代理机构进行在线确认，确认完成后，评标委员才能完成评标。</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AI辅助评标系统也需提供评标中止、评标流标、评标质疑澄清、重置评标流程等辅助功能。</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套</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　</w:t>
            </w:r>
          </w:p>
        </w:tc>
      </w:tr>
      <w:tr>
        <w:tblPrEx>
          <w:tblLayout w:type="fixed"/>
          <w:tblCellMar>
            <w:top w:w="0" w:type="dxa"/>
            <w:left w:w="108" w:type="dxa"/>
            <w:bottom w:w="0" w:type="dxa"/>
            <w:right w:w="108" w:type="dxa"/>
          </w:tblCellMar>
        </w:tblPrEx>
        <w:trPr>
          <w:trHeight w:val="1425"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w:t>
            </w:r>
          </w:p>
        </w:tc>
        <w:tc>
          <w:tcPr>
            <w:tcW w:w="19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定标系统</w:t>
            </w:r>
          </w:p>
        </w:tc>
        <w:tc>
          <w:tcPr>
            <w:tcW w:w="378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定标系统需从AI辅助评标系统或电子辅助评标系统中，获取评标结果资料功能，并需为招标人提供包括但不限于定标会议预约、定标会议主持、定标委员会组建、定标监督小组组建等功能；为定标委员会提供包括但不限于定标资料查阅、定标过程记录、定标投票电子表决、汇总定标结果、定标报告生成、电子签章等功能；为监督小组提供包括但不限于定标委员会桌面查看、定标音视频查看等功能。</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需支持线下会议集中定标和远程异地分散定标两种模式，采用远程异地分散定标的系统应提供在线会商系统，会商系统音视频会商、定标桌面分享、电子白板等会商功能。</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系统至少支持直接票决法、逐轮票决法、集体议事法三种定标方式。</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套</w:t>
            </w:r>
          </w:p>
        </w:tc>
        <w:tc>
          <w:tcPr>
            <w:tcW w:w="69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　</w:t>
            </w:r>
          </w:p>
        </w:tc>
      </w:tr>
      <w:tr>
        <w:tblPrEx>
          <w:tblLayout w:type="fixed"/>
          <w:tblCellMar>
            <w:top w:w="0" w:type="dxa"/>
            <w:left w:w="108" w:type="dxa"/>
            <w:bottom w:w="0" w:type="dxa"/>
            <w:right w:w="108" w:type="dxa"/>
          </w:tblCellMar>
        </w:tblPrEx>
        <w:trPr>
          <w:trHeight w:val="1995" w:hRule="atLeast"/>
        </w:trPr>
        <w:tc>
          <w:tcPr>
            <w:tcW w:w="696" w:type="dxa"/>
            <w:tcBorders>
              <w:top w:val="nil"/>
              <w:left w:val="single" w:color="auto" w:sz="4" w:space="0"/>
              <w:bottom w:val="nil"/>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w:t>
            </w:r>
          </w:p>
        </w:tc>
        <w:tc>
          <w:tcPr>
            <w:tcW w:w="1956" w:type="dxa"/>
            <w:tcBorders>
              <w:top w:val="nil"/>
              <w:left w:val="nil"/>
              <w:bottom w:val="nil"/>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金融服务平台</w:t>
            </w:r>
          </w:p>
        </w:tc>
        <w:tc>
          <w:tcPr>
            <w:tcW w:w="3782" w:type="dxa"/>
            <w:tcBorders>
              <w:top w:val="nil"/>
              <w:left w:val="nil"/>
              <w:bottom w:val="nil"/>
              <w:right w:val="single" w:color="auto" w:sz="4" w:space="0"/>
            </w:tcBorders>
            <w:shd w:val="clear" w:color="auto" w:fill="auto"/>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平台与拉萨市公共资源交易服务平台（含交易系统、用户体系等）无缝衔接，点对点为市场交易主体提供精准高效的在线金融服务，金融服务业务涵盖公共资源交易业务的全过程。平台提供标准的对接规则，与各金融机构系统按照标准进行对接，获取投保人等相关信息，实现数据及业务的互联共享。</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平台包含平台门户网站、金融服务系统、金融服务管理系统，系统对接模块。实现投保、贷款业务操作，多维度数据统计，金融机构及相关产品管理、信息管理、投保记录监管等功能。同时，平台还将支持场外项目相关投标企业在线申请金融产品。</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平台支持投标保函、建设工程施工合同履约保证保险、农民工工资支付履约保证保险、工程质量保证保险、供货履约保证保险等担保保险产品和建筑工程施工合同履约贷、中标贷、农民工工资贷、工程量保证金贷等贷款产品。</w:t>
            </w:r>
            <w:r>
              <w:rPr>
                <w:rFonts w:hint="eastAsia" w:ascii="仿宋" w:hAnsi="仿宋" w:eastAsia="仿宋" w:cs="宋体"/>
                <w:color w:val="000000"/>
                <w:kern w:val="0"/>
                <w:sz w:val="24"/>
                <w:szCs w:val="24"/>
                <w14:ligatures w14:val="none"/>
              </w:rPr>
              <w:br w:type="textWrapping"/>
            </w:r>
            <w:r>
              <w:rPr>
                <w:rFonts w:hint="eastAsia" w:ascii="仿宋" w:hAnsi="仿宋" w:eastAsia="仿宋" w:cs="宋体"/>
                <w:color w:val="000000"/>
                <w:kern w:val="0"/>
                <w:sz w:val="24"/>
                <w:szCs w:val="24"/>
                <w14:ligatures w14:val="none"/>
              </w:rPr>
              <w:t>平台支持与各银行、保险、第三方担保平台对接，推送投保申请数据，接收投保审核结果数据。</w:t>
            </w:r>
          </w:p>
        </w:tc>
        <w:tc>
          <w:tcPr>
            <w:tcW w:w="696" w:type="dxa"/>
            <w:tcBorders>
              <w:top w:val="nil"/>
              <w:left w:val="nil"/>
              <w:bottom w:val="nil"/>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696" w:type="dxa"/>
            <w:tcBorders>
              <w:top w:val="nil"/>
              <w:left w:val="nil"/>
              <w:bottom w:val="nil"/>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套</w:t>
            </w:r>
          </w:p>
        </w:tc>
        <w:tc>
          <w:tcPr>
            <w:tcW w:w="696" w:type="dxa"/>
            <w:tcBorders>
              <w:top w:val="nil"/>
              <w:left w:val="nil"/>
              <w:bottom w:val="nil"/>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　</w:t>
            </w:r>
          </w:p>
        </w:tc>
      </w:tr>
      <w:tr>
        <w:tblPrEx>
          <w:tblLayout w:type="fixed"/>
          <w:tblCellMar>
            <w:top w:w="0" w:type="dxa"/>
            <w:left w:w="108" w:type="dxa"/>
            <w:bottom w:w="0" w:type="dxa"/>
            <w:right w:w="108" w:type="dxa"/>
          </w:tblCellMar>
        </w:tblPrEx>
        <w:trPr>
          <w:trHeight w:val="1995"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w:t>
            </w:r>
          </w:p>
        </w:tc>
        <w:tc>
          <w:tcPr>
            <w:tcW w:w="195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对接需求</w:t>
            </w:r>
          </w:p>
        </w:tc>
        <w:tc>
          <w:tcPr>
            <w:tcW w:w="378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系统与西藏自治区公共资源交易网，西藏自治区建筑市场监管与诚信一体化工作平台，拉萨市公共资源交易服务平台，各银行、保险公司、担保公司平台进行对接。对接西藏自治区公共资源交易平台现使用的CA证书。</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项</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p>
        </w:tc>
      </w:tr>
      <w:tr>
        <w:tblPrEx>
          <w:tblLayout w:type="fixed"/>
          <w:tblCellMar>
            <w:top w:w="0" w:type="dxa"/>
            <w:left w:w="108" w:type="dxa"/>
            <w:bottom w:w="0" w:type="dxa"/>
            <w:right w:w="108" w:type="dxa"/>
          </w:tblCellMar>
        </w:tblPrEx>
        <w:trPr>
          <w:trHeight w:val="1995"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w:t>
            </w:r>
          </w:p>
        </w:tc>
        <w:tc>
          <w:tcPr>
            <w:tcW w:w="195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自助查询机</w:t>
            </w:r>
          </w:p>
        </w:tc>
        <w:tc>
          <w:tcPr>
            <w:tcW w:w="378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交易主体信息查询</w:t>
            </w:r>
          </w:p>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当日开标项目信息查询</w:t>
            </w:r>
          </w:p>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当日评审的项目信息查询</w:t>
            </w:r>
          </w:p>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交易引导服务</w:t>
            </w:r>
          </w:p>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交易评标报告自助查询</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套</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p>
        </w:tc>
      </w:tr>
      <w:tr>
        <w:tblPrEx>
          <w:tblLayout w:type="fixed"/>
          <w:tblCellMar>
            <w:top w:w="0" w:type="dxa"/>
            <w:left w:w="108" w:type="dxa"/>
            <w:bottom w:w="0" w:type="dxa"/>
            <w:right w:w="108" w:type="dxa"/>
          </w:tblCellMar>
        </w:tblPrEx>
        <w:trPr>
          <w:trHeight w:val="565"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w:t>
            </w:r>
          </w:p>
        </w:tc>
        <w:tc>
          <w:tcPr>
            <w:tcW w:w="195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监管平台</w:t>
            </w:r>
          </w:p>
        </w:tc>
        <w:tc>
          <w:tcPr>
            <w:tcW w:w="378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default"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14:ligatures w14:val="none"/>
              </w:rPr>
              <w:t>监管平台分为系统管理、监督管理、审批管理、监督应用、统计分析、智能预警、黑名单管理</w:t>
            </w:r>
            <w:r>
              <w:rPr>
                <w:rFonts w:hint="eastAsia" w:ascii="仿宋" w:hAnsi="仿宋" w:eastAsia="仿宋" w:cs="宋体"/>
                <w:color w:val="000000"/>
                <w:kern w:val="0"/>
                <w:sz w:val="24"/>
                <w:szCs w:val="24"/>
                <w:lang w:val="en-US" w:eastAsia="zh-CN"/>
                <w14:ligatures w14:val="none"/>
              </w:rPr>
              <w:t>共7个模块，满足主管部门或监管部门使用需要。</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套</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p>
        </w:tc>
      </w:tr>
      <w:tr>
        <w:tblPrEx>
          <w:tblLayout w:type="fixed"/>
          <w:tblCellMar>
            <w:top w:w="0" w:type="dxa"/>
            <w:left w:w="108" w:type="dxa"/>
            <w:bottom w:w="0" w:type="dxa"/>
            <w:right w:w="108" w:type="dxa"/>
          </w:tblCellMar>
        </w:tblPrEx>
        <w:trPr>
          <w:trHeight w:val="1995"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default"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10</w:t>
            </w:r>
          </w:p>
        </w:tc>
        <w:tc>
          <w:tcPr>
            <w:tcW w:w="195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default"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远程异地评标</w:t>
            </w:r>
          </w:p>
        </w:tc>
        <w:tc>
          <w:tcPr>
            <w:tcW w:w="378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default"/>
                <w:lang w:val="en-US" w:eastAsia="zh-CN"/>
              </w:rPr>
            </w:pPr>
            <w:r>
              <w:rPr>
                <w:rFonts w:hint="eastAsia" w:ascii="仿宋" w:hAnsi="仿宋" w:eastAsia="仿宋" w:cs="宋体"/>
                <w:color w:val="000000"/>
                <w:kern w:val="0"/>
                <w:sz w:val="24"/>
                <w:szCs w:val="24"/>
                <w:lang w:val="en-US" w:eastAsia="zh-CN"/>
                <w14:ligatures w14:val="none"/>
              </w:rPr>
              <w:t>交易系统支持远程异地评标及相关查询、联动功能。</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宋体"/>
                <w:color w:val="000000"/>
                <w:kern w:val="0"/>
                <w:sz w:val="24"/>
                <w:szCs w:val="24"/>
                <w14:ligatures w14:val="none"/>
              </w:rPr>
            </w:pPr>
          </w:p>
        </w:tc>
      </w:tr>
    </w:tbl>
    <w:p>
      <w:pPr>
        <w:pStyle w:val="10"/>
        <w:numPr>
          <w:ilvl w:val="0"/>
          <w:numId w:val="0"/>
        </w:numPr>
        <w:spacing w:line="360" w:lineRule="auto"/>
        <w:ind w:leftChars="0" w:firstLine="482" w:firstLineChars="200"/>
        <w:outlineLvl w:val="2"/>
        <w:rPr>
          <w:rFonts w:ascii="仿宋" w:hAnsi="仿宋" w:eastAsia="仿宋"/>
          <w:b/>
          <w:sz w:val="24"/>
          <w:szCs w:val="24"/>
          <w:lang w:eastAsia="zh-CN"/>
        </w:rPr>
      </w:pPr>
      <w:r>
        <w:rPr>
          <w:rFonts w:hint="eastAsia" w:ascii="仿宋" w:hAnsi="仿宋" w:eastAsia="仿宋"/>
          <w:b/>
          <w:sz w:val="24"/>
          <w:szCs w:val="24"/>
          <w:lang w:val="en-US" w:eastAsia="zh-CN"/>
        </w:rPr>
        <w:t>四、</w:t>
      </w:r>
      <w:r>
        <w:rPr>
          <w:rFonts w:ascii="仿宋" w:hAnsi="仿宋" w:eastAsia="仿宋"/>
          <w:b/>
          <w:sz w:val="24"/>
          <w:szCs w:val="24"/>
          <w:lang w:eastAsia="zh-CN"/>
        </w:rPr>
        <w:t>商务要求</w:t>
      </w:r>
    </w:p>
    <w:p>
      <w:pPr>
        <w:pStyle w:val="10"/>
        <w:numPr>
          <w:ilvl w:val="0"/>
          <w:numId w:val="0"/>
        </w:numPr>
        <w:spacing w:line="360" w:lineRule="auto"/>
        <w:ind w:leftChars="0" w:firstLine="241" w:firstLineChars="100"/>
        <w:outlineLvl w:val="2"/>
        <w:rPr>
          <w:rFonts w:ascii="仿宋" w:hAnsi="仿宋" w:eastAsia="仿宋"/>
          <w:b/>
          <w:sz w:val="24"/>
          <w:szCs w:val="24"/>
          <w:lang w:eastAsia="zh-CN"/>
        </w:rPr>
      </w:pPr>
      <w:r>
        <w:rPr>
          <w:rFonts w:hint="eastAsia" w:ascii="仿宋" w:hAnsi="仿宋" w:eastAsia="仿宋"/>
          <w:b/>
          <w:sz w:val="24"/>
          <w:szCs w:val="24"/>
          <w:lang w:eastAsia="zh-CN"/>
        </w:rPr>
        <w:t>（</w:t>
      </w:r>
      <w:r>
        <w:rPr>
          <w:rFonts w:hint="eastAsia" w:ascii="仿宋" w:hAnsi="仿宋" w:eastAsia="仿宋"/>
          <w:b/>
          <w:sz w:val="24"/>
          <w:szCs w:val="24"/>
          <w:lang w:val="en-US" w:eastAsia="zh-CN"/>
        </w:rPr>
        <w:t>一</w:t>
      </w:r>
      <w:r>
        <w:rPr>
          <w:rFonts w:hint="eastAsia" w:ascii="仿宋" w:hAnsi="仿宋" w:eastAsia="仿宋"/>
          <w:b/>
          <w:sz w:val="24"/>
          <w:szCs w:val="24"/>
          <w:lang w:eastAsia="zh-CN"/>
        </w:rPr>
        <w:t>）</w:t>
      </w:r>
      <w:r>
        <w:rPr>
          <w:rFonts w:ascii="仿宋" w:hAnsi="仿宋" w:eastAsia="仿宋"/>
          <w:b/>
          <w:sz w:val="24"/>
          <w:szCs w:val="24"/>
          <w:lang w:eastAsia="zh-CN"/>
        </w:rPr>
        <w:t xml:space="preserve">采购项目交付（实施）的时间（期限）要求(实质性要求) </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在合同签订生效之日起</w:t>
      </w:r>
      <w:r>
        <w:rPr>
          <w:rFonts w:hint="eastAsia" w:ascii="仿宋" w:hAnsi="仿宋" w:eastAsia="仿宋"/>
          <w:sz w:val="24"/>
          <w:szCs w:val="24"/>
          <w:lang w:val="en-US" w:eastAsia="zh-CN"/>
        </w:rPr>
        <w:t>50</w:t>
      </w:r>
      <w:r>
        <w:rPr>
          <w:rFonts w:hint="eastAsia" w:ascii="仿宋" w:hAnsi="仿宋" w:eastAsia="仿宋"/>
          <w:sz w:val="24"/>
          <w:szCs w:val="24"/>
        </w:rPr>
        <w:t>天内交货到采购人指定地点，完成安装调试</w:t>
      </w:r>
      <w:r>
        <w:rPr>
          <w:rFonts w:hint="eastAsia" w:ascii="仿宋" w:hAnsi="仿宋" w:eastAsia="仿宋"/>
          <w:sz w:val="24"/>
          <w:szCs w:val="24"/>
          <w:lang w:eastAsia="zh-CN"/>
        </w:rPr>
        <w:t>、</w:t>
      </w:r>
      <w:r>
        <w:rPr>
          <w:rFonts w:hint="eastAsia" w:ascii="仿宋" w:hAnsi="仿宋" w:eastAsia="仿宋"/>
          <w:sz w:val="24"/>
          <w:szCs w:val="24"/>
          <w:lang w:val="en-US" w:eastAsia="zh-CN"/>
        </w:rPr>
        <w:t>试运行及</w:t>
      </w:r>
      <w:r>
        <w:rPr>
          <w:rFonts w:hint="eastAsia" w:ascii="仿宋" w:hAnsi="仿宋" w:eastAsia="仿宋"/>
          <w:sz w:val="24"/>
          <w:szCs w:val="24"/>
        </w:rPr>
        <w:t>交付使用</w:t>
      </w:r>
      <w:r>
        <w:rPr>
          <w:rFonts w:hint="eastAsia" w:ascii="仿宋" w:hAnsi="仿宋" w:eastAsia="仿宋"/>
          <w:sz w:val="24"/>
          <w:szCs w:val="24"/>
          <w:lang w:val="en-US" w:eastAsia="zh-CN"/>
        </w:rPr>
        <w:t>并开展运维工作</w:t>
      </w:r>
      <w:r>
        <w:rPr>
          <w:rFonts w:hint="eastAsia" w:ascii="仿宋" w:hAnsi="仿宋" w:eastAsia="仿宋"/>
          <w:sz w:val="24"/>
          <w:szCs w:val="24"/>
        </w:rPr>
        <w:t>。</w:t>
      </w:r>
    </w:p>
    <w:p>
      <w:pPr>
        <w:pStyle w:val="10"/>
        <w:numPr>
          <w:ilvl w:val="0"/>
          <w:numId w:val="0"/>
        </w:numPr>
        <w:spacing w:line="360" w:lineRule="auto"/>
        <w:ind w:leftChars="0" w:firstLine="241" w:firstLineChars="100"/>
        <w:outlineLvl w:val="2"/>
        <w:rPr>
          <w:rFonts w:ascii="仿宋" w:hAnsi="仿宋" w:eastAsia="仿宋"/>
          <w:b/>
          <w:sz w:val="24"/>
          <w:szCs w:val="24"/>
          <w:lang w:eastAsia="zh-CN"/>
        </w:rPr>
      </w:pPr>
      <w:r>
        <w:rPr>
          <w:rFonts w:hint="eastAsia" w:ascii="仿宋" w:hAnsi="仿宋" w:eastAsia="仿宋"/>
          <w:b/>
          <w:sz w:val="24"/>
          <w:szCs w:val="24"/>
          <w:lang w:eastAsia="zh-CN"/>
        </w:rPr>
        <w:t>（</w:t>
      </w:r>
      <w:r>
        <w:rPr>
          <w:rFonts w:hint="eastAsia" w:ascii="仿宋" w:hAnsi="仿宋" w:eastAsia="仿宋"/>
          <w:b/>
          <w:sz w:val="24"/>
          <w:szCs w:val="24"/>
          <w:lang w:val="en-US" w:eastAsia="zh-CN"/>
        </w:rPr>
        <w:t>二</w:t>
      </w:r>
      <w:r>
        <w:rPr>
          <w:rFonts w:hint="eastAsia" w:ascii="仿宋" w:hAnsi="仿宋" w:eastAsia="仿宋"/>
          <w:b/>
          <w:sz w:val="24"/>
          <w:szCs w:val="24"/>
          <w:lang w:eastAsia="zh-CN"/>
        </w:rPr>
        <w:t>）</w:t>
      </w:r>
      <w:r>
        <w:rPr>
          <w:rFonts w:ascii="仿宋" w:hAnsi="仿宋" w:eastAsia="仿宋"/>
          <w:b/>
          <w:sz w:val="24"/>
          <w:szCs w:val="24"/>
          <w:lang w:eastAsia="zh-CN"/>
        </w:rPr>
        <w:t xml:space="preserve">付款方式(实质性要求) </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1. 经采购方验收合格后，采购方收到投标人有效发票在 20 工作日内支付全部项目合同款项。 </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.中标人须向采购人出具合法有效完整的完税发票及凭证资料进行支付结算。</w:t>
      </w:r>
    </w:p>
    <w:p>
      <w:pPr>
        <w:pStyle w:val="10"/>
        <w:numPr>
          <w:ilvl w:val="0"/>
          <w:numId w:val="0"/>
        </w:numPr>
        <w:spacing w:line="360" w:lineRule="auto"/>
        <w:ind w:leftChars="0" w:firstLine="482" w:firstLineChars="200"/>
        <w:outlineLvl w:val="2"/>
        <w:rPr>
          <w:rFonts w:ascii="仿宋" w:hAnsi="仿宋" w:eastAsia="仿宋"/>
          <w:b/>
          <w:sz w:val="24"/>
          <w:szCs w:val="24"/>
          <w:lang w:eastAsia="zh-CN"/>
        </w:rPr>
      </w:pPr>
      <w:r>
        <w:rPr>
          <w:rFonts w:hint="eastAsia" w:ascii="仿宋" w:hAnsi="仿宋" w:eastAsia="仿宋"/>
          <w:b/>
          <w:sz w:val="24"/>
          <w:szCs w:val="24"/>
          <w:lang w:val="en-US" w:eastAsia="zh-CN"/>
        </w:rPr>
        <w:t>五、</w:t>
      </w:r>
      <w:r>
        <w:rPr>
          <w:rFonts w:ascii="仿宋" w:hAnsi="仿宋" w:eastAsia="仿宋"/>
          <w:b/>
          <w:sz w:val="24"/>
          <w:szCs w:val="24"/>
          <w:lang w:eastAsia="zh-CN"/>
        </w:rPr>
        <w:t>项目质保及运维要求(实质性要求)</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）中标人须提供</w:t>
      </w:r>
      <w:r>
        <w:rPr>
          <w:rFonts w:hint="eastAsia" w:ascii="仿宋" w:hAnsi="仿宋" w:eastAsia="仿宋"/>
          <w:sz w:val="24"/>
          <w:szCs w:val="24"/>
          <w:lang w:val="en-US" w:eastAsia="zh-CN"/>
        </w:rPr>
        <w:t>三</w:t>
      </w:r>
      <w:r>
        <w:rPr>
          <w:rFonts w:hint="eastAsia" w:ascii="仿宋" w:hAnsi="仿宋" w:eastAsia="仿宋"/>
          <w:sz w:val="24"/>
          <w:szCs w:val="24"/>
        </w:rPr>
        <w:t>年的质保期（免费运维期），质保期（免费运维期）</w:t>
      </w:r>
      <w:r>
        <w:rPr>
          <w:rFonts w:hint="eastAsia" w:ascii="仿宋" w:hAnsi="仿宋" w:eastAsia="仿宋"/>
          <w:sz w:val="24"/>
          <w:szCs w:val="24"/>
          <w:lang w:val="en-US" w:eastAsia="zh-CN"/>
        </w:rPr>
        <w:t>自</w:t>
      </w:r>
      <w:r>
        <w:rPr>
          <w:rFonts w:hint="eastAsia" w:ascii="仿宋" w:hAnsi="仿宋" w:eastAsia="仿宋"/>
          <w:sz w:val="24"/>
          <w:szCs w:val="24"/>
        </w:rPr>
        <w:t>项目通过最终验收</w:t>
      </w:r>
      <w:r>
        <w:rPr>
          <w:rFonts w:hint="eastAsia" w:ascii="仿宋" w:hAnsi="仿宋" w:eastAsia="仿宋"/>
          <w:sz w:val="24"/>
          <w:szCs w:val="24"/>
          <w:lang w:val="en-US" w:eastAsia="zh-CN"/>
        </w:rPr>
        <w:t>交付</w:t>
      </w:r>
      <w:r>
        <w:rPr>
          <w:rFonts w:hint="eastAsia" w:ascii="仿宋" w:hAnsi="仿宋" w:eastAsia="仿宋"/>
          <w:sz w:val="24"/>
          <w:szCs w:val="24"/>
        </w:rPr>
        <w:t>之日起计算。</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二</w:t>
      </w:r>
      <w:r>
        <w:rPr>
          <w:rFonts w:hint="eastAsia" w:ascii="仿宋" w:hAnsi="仿宋" w:eastAsia="仿宋"/>
          <w:sz w:val="24"/>
          <w:szCs w:val="24"/>
        </w:rPr>
        <w:t>）运维期内，中标人负责提供现场驻地化运行维护服务，所有系统内容的调整及变更（基于政策调整）、解决系统使用疑问、故障分析解除、</w:t>
      </w:r>
      <w:r>
        <w:rPr>
          <w:rFonts w:hint="eastAsia" w:ascii="仿宋" w:hAnsi="仿宋" w:eastAsia="仿宋"/>
          <w:sz w:val="24"/>
          <w:szCs w:val="24"/>
          <w:lang w:val="en-US" w:eastAsia="zh-CN"/>
        </w:rPr>
        <w:t>系统</w:t>
      </w:r>
      <w:r>
        <w:rPr>
          <w:rFonts w:hint="eastAsia" w:ascii="仿宋" w:hAnsi="仿宋" w:eastAsia="仿宋"/>
          <w:sz w:val="24"/>
          <w:szCs w:val="24"/>
        </w:rPr>
        <w:t>功能</w:t>
      </w:r>
      <w:r>
        <w:rPr>
          <w:rFonts w:hint="eastAsia" w:ascii="仿宋" w:hAnsi="仿宋" w:eastAsia="仿宋"/>
          <w:sz w:val="24"/>
          <w:szCs w:val="24"/>
          <w:lang w:val="en-US" w:eastAsia="zh-CN"/>
        </w:rPr>
        <w:t>扩展及</w:t>
      </w:r>
      <w:r>
        <w:rPr>
          <w:rFonts w:hint="eastAsia" w:ascii="仿宋" w:hAnsi="仿宋" w:eastAsia="仿宋"/>
          <w:sz w:val="24"/>
          <w:szCs w:val="24"/>
        </w:rPr>
        <w:t>优化（基于合理的实际需求）等。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三</w:t>
      </w:r>
      <w:r>
        <w:rPr>
          <w:rFonts w:hint="eastAsia" w:ascii="仿宋" w:hAnsi="仿宋" w:eastAsia="仿宋"/>
          <w:sz w:val="24"/>
          <w:szCs w:val="24"/>
        </w:rPr>
        <w:t>）运维期内，提供7×24小时的技术咨询服务，支持7×24小时故障服务受理。一般故障提供5×8小时的现场支援，对重大故障提供7×24小时的现场支援。</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四</w:t>
      </w:r>
      <w:bookmarkStart w:id="0" w:name="_GoBack"/>
      <w:bookmarkEnd w:id="0"/>
      <w:r>
        <w:rPr>
          <w:rFonts w:hint="eastAsia" w:ascii="仿宋" w:hAnsi="仿宋" w:eastAsia="仿宋"/>
          <w:sz w:val="24"/>
          <w:szCs w:val="24"/>
        </w:rPr>
        <w:t>）驻场服务，中标人须派驻专职人员进行现场驻点服务。</w:t>
      </w:r>
    </w:p>
    <w:p>
      <w:pPr>
        <w:spacing w:line="360" w:lineRule="auto"/>
        <w:ind w:firstLine="480" w:firstLineChars="200"/>
        <w:rPr>
          <w:rFonts w:hint="eastAsia"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06391"/>
    <w:multiLevelType w:val="singleLevel"/>
    <w:tmpl w:val="AB706391"/>
    <w:lvl w:ilvl="0" w:tentative="0">
      <w:start w:val="4"/>
      <w:numFmt w:val="decimal"/>
      <w:lvlText w:val="%1."/>
      <w:lvlJc w:val="left"/>
      <w:pPr>
        <w:tabs>
          <w:tab w:val="left" w:pos="312"/>
        </w:tabs>
      </w:pPr>
    </w:lvl>
  </w:abstractNum>
  <w:abstractNum w:abstractNumId="1">
    <w:nsid w:val="397291E3"/>
    <w:multiLevelType w:val="singleLevel"/>
    <w:tmpl w:val="397291E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mI3ZTNmYmZkZTU1MzE4MGU4YTQ0YmI5NTFhNzY3ZWQifQ=="/>
    <w:docVar w:name="KSO_WPS_MARK_KEY" w:val="1260f118-64e9-4b3e-915b-14666891743d"/>
  </w:docVars>
  <w:rsids>
    <w:rsidRoot w:val="004352E7"/>
    <w:rsid w:val="000037F6"/>
    <w:rsid w:val="000604EC"/>
    <w:rsid w:val="00062F98"/>
    <w:rsid w:val="0009201D"/>
    <w:rsid w:val="000B6592"/>
    <w:rsid w:val="000D532A"/>
    <w:rsid w:val="001009D5"/>
    <w:rsid w:val="00107E7E"/>
    <w:rsid w:val="00143D9A"/>
    <w:rsid w:val="00171D11"/>
    <w:rsid w:val="00195C0E"/>
    <w:rsid w:val="001D4666"/>
    <w:rsid w:val="00251A79"/>
    <w:rsid w:val="00270E13"/>
    <w:rsid w:val="0028644D"/>
    <w:rsid w:val="002A3A0F"/>
    <w:rsid w:val="002B692A"/>
    <w:rsid w:val="002C4F1D"/>
    <w:rsid w:val="002C7960"/>
    <w:rsid w:val="002C7F2C"/>
    <w:rsid w:val="002E67E5"/>
    <w:rsid w:val="002F16A6"/>
    <w:rsid w:val="002F3D64"/>
    <w:rsid w:val="002F584E"/>
    <w:rsid w:val="002F7F5B"/>
    <w:rsid w:val="00340EC7"/>
    <w:rsid w:val="003828F2"/>
    <w:rsid w:val="003A0BB0"/>
    <w:rsid w:val="003A6F01"/>
    <w:rsid w:val="003B763C"/>
    <w:rsid w:val="003D26FC"/>
    <w:rsid w:val="003D39A6"/>
    <w:rsid w:val="003D6BB1"/>
    <w:rsid w:val="0040217C"/>
    <w:rsid w:val="004352E7"/>
    <w:rsid w:val="0044093E"/>
    <w:rsid w:val="00443FF4"/>
    <w:rsid w:val="00445077"/>
    <w:rsid w:val="004952FA"/>
    <w:rsid w:val="004A79BB"/>
    <w:rsid w:val="004A7A83"/>
    <w:rsid w:val="004C782A"/>
    <w:rsid w:val="004D1517"/>
    <w:rsid w:val="004D17D5"/>
    <w:rsid w:val="0053326D"/>
    <w:rsid w:val="0054493D"/>
    <w:rsid w:val="005730DE"/>
    <w:rsid w:val="00575C33"/>
    <w:rsid w:val="00585A86"/>
    <w:rsid w:val="00586568"/>
    <w:rsid w:val="00596863"/>
    <w:rsid w:val="005C5DFA"/>
    <w:rsid w:val="005C7979"/>
    <w:rsid w:val="005D63E6"/>
    <w:rsid w:val="005F0428"/>
    <w:rsid w:val="00614EC0"/>
    <w:rsid w:val="00631BE1"/>
    <w:rsid w:val="00676E8A"/>
    <w:rsid w:val="006F4007"/>
    <w:rsid w:val="00724212"/>
    <w:rsid w:val="0073107E"/>
    <w:rsid w:val="0073681C"/>
    <w:rsid w:val="00773AF7"/>
    <w:rsid w:val="00777B4F"/>
    <w:rsid w:val="007A21D6"/>
    <w:rsid w:val="007B140A"/>
    <w:rsid w:val="007B4331"/>
    <w:rsid w:val="008029A4"/>
    <w:rsid w:val="008075A5"/>
    <w:rsid w:val="00810D39"/>
    <w:rsid w:val="00814999"/>
    <w:rsid w:val="008221D2"/>
    <w:rsid w:val="00827EF0"/>
    <w:rsid w:val="008848D4"/>
    <w:rsid w:val="008B4C46"/>
    <w:rsid w:val="008C6FB6"/>
    <w:rsid w:val="00937043"/>
    <w:rsid w:val="00970FCF"/>
    <w:rsid w:val="00971534"/>
    <w:rsid w:val="00990327"/>
    <w:rsid w:val="009946E5"/>
    <w:rsid w:val="009A2CC4"/>
    <w:rsid w:val="009B0F3E"/>
    <w:rsid w:val="009B503C"/>
    <w:rsid w:val="009E13A5"/>
    <w:rsid w:val="009F3188"/>
    <w:rsid w:val="009F4D94"/>
    <w:rsid w:val="00A14EBA"/>
    <w:rsid w:val="00A42A54"/>
    <w:rsid w:val="00A739D0"/>
    <w:rsid w:val="00AD15DC"/>
    <w:rsid w:val="00AE5B51"/>
    <w:rsid w:val="00AF4C51"/>
    <w:rsid w:val="00B11A88"/>
    <w:rsid w:val="00B508AC"/>
    <w:rsid w:val="00B519A4"/>
    <w:rsid w:val="00B57C5A"/>
    <w:rsid w:val="00B73517"/>
    <w:rsid w:val="00B77095"/>
    <w:rsid w:val="00B94F47"/>
    <w:rsid w:val="00BC015D"/>
    <w:rsid w:val="00BF2C10"/>
    <w:rsid w:val="00C13223"/>
    <w:rsid w:val="00C62559"/>
    <w:rsid w:val="00C62930"/>
    <w:rsid w:val="00C6735E"/>
    <w:rsid w:val="00C90A44"/>
    <w:rsid w:val="00CD20C9"/>
    <w:rsid w:val="00CD2923"/>
    <w:rsid w:val="00CE7C71"/>
    <w:rsid w:val="00D43BF2"/>
    <w:rsid w:val="00D77217"/>
    <w:rsid w:val="00D87F27"/>
    <w:rsid w:val="00DB09F2"/>
    <w:rsid w:val="00DC38D3"/>
    <w:rsid w:val="00E11991"/>
    <w:rsid w:val="00E124C2"/>
    <w:rsid w:val="00E15C22"/>
    <w:rsid w:val="00E42BFB"/>
    <w:rsid w:val="00E43AEC"/>
    <w:rsid w:val="00E4579E"/>
    <w:rsid w:val="00E61B21"/>
    <w:rsid w:val="00E73B46"/>
    <w:rsid w:val="00E95DD1"/>
    <w:rsid w:val="00ED33FA"/>
    <w:rsid w:val="00EE722E"/>
    <w:rsid w:val="00F13028"/>
    <w:rsid w:val="00F13077"/>
    <w:rsid w:val="00F65409"/>
    <w:rsid w:val="00F720E2"/>
    <w:rsid w:val="00FA68CF"/>
    <w:rsid w:val="00FD657E"/>
    <w:rsid w:val="00FE1DFF"/>
    <w:rsid w:val="00FE5E50"/>
    <w:rsid w:val="02017B96"/>
    <w:rsid w:val="04020E77"/>
    <w:rsid w:val="057E7DCE"/>
    <w:rsid w:val="05C07B0D"/>
    <w:rsid w:val="05E5389B"/>
    <w:rsid w:val="07A22AF8"/>
    <w:rsid w:val="083B4F1D"/>
    <w:rsid w:val="0893487A"/>
    <w:rsid w:val="08D8516E"/>
    <w:rsid w:val="0A290B0F"/>
    <w:rsid w:val="0B4011F6"/>
    <w:rsid w:val="0B4A4D86"/>
    <w:rsid w:val="0D232152"/>
    <w:rsid w:val="0D7116ED"/>
    <w:rsid w:val="0DC3742E"/>
    <w:rsid w:val="0E76520D"/>
    <w:rsid w:val="0EE637D2"/>
    <w:rsid w:val="0F2729AB"/>
    <w:rsid w:val="0F946111"/>
    <w:rsid w:val="12696E37"/>
    <w:rsid w:val="146B6E96"/>
    <w:rsid w:val="15034695"/>
    <w:rsid w:val="16C276C7"/>
    <w:rsid w:val="17650515"/>
    <w:rsid w:val="178C3CF3"/>
    <w:rsid w:val="18676665"/>
    <w:rsid w:val="18893D8F"/>
    <w:rsid w:val="197C38F4"/>
    <w:rsid w:val="1B62420A"/>
    <w:rsid w:val="1B9E725C"/>
    <w:rsid w:val="1CDD28FB"/>
    <w:rsid w:val="1DCF0496"/>
    <w:rsid w:val="1F4557B3"/>
    <w:rsid w:val="1F576995"/>
    <w:rsid w:val="22C500B9"/>
    <w:rsid w:val="23FA5EFD"/>
    <w:rsid w:val="24942439"/>
    <w:rsid w:val="251E582B"/>
    <w:rsid w:val="25D54AB7"/>
    <w:rsid w:val="25DB691E"/>
    <w:rsid w:val="26C37006"/>
    <w:rsid w:val="26D76417"/>
    <w:rsid w:val="26F158E9"/>
    <w:rsid w:val="27323D42"/>
    <w:rsid w:val="27EE00B2"/>
    <w:rsid w:val="29385A89"/>
    <w:rsid w:val="294A30C6"/>
    <w:rsid w:val="2A862824"/>
    <w:rsid w:val="2AAA4765"/>
    <w:rsid w:val="2AC375D4"/>
    <w:rsid w:val="2B5B15BB"/>
    <w:rsid w:val="2C5F74E3"/>
    <w:rsid w:val="2DA07759"/>
    <w:rsid w:val="2E1B0C11"/>
    <w:rsid w:val="2E580034"/>
    <w:rsid w:val="2ECB722F"/>
    <w:rsid w:val="2F2972DE"/>
    <w:rsid w:val="30322561"/>
    <w:rsid w:val="30E20088"/>
    <w:rsid w:val="3192385D"/>
    <w:rsid w:val="31D04385"/>
    <w:rsid w:val="33F151B2"/>
    <w:rsid w:val="34E07D79"/>
    <w:rsid w:val="3555351F"/>
    <w:rsid w:val="362F1A07"/>
    <w:rsid w:val="36B11C50"/>
    <w:rsid w:val="374D6BA3"/>
    <w:rsid w:val="38080D1C"/>
    <w:rsid w:val="39561614"/>
    <w:rsid w:val="3A641B4B"/>
    <w:rsid w:val="3A706705"/>
    <w:rsid w:val="3B0F46C4"/>
    <w:rsid w:val="3BB0498B"/>
    <w:rsid w:val="3CED1E7F"/>
    <w:rsid w:val="3E4552E3"/>
    <w:rsid w:val="3EF3714E"/>
    <w:rsid w:val="3F275F2C"/>
    <w:rsid w:val="3F3E6DD2"/>
    <w:rsid w:val="3FAC4683"/>
    <w:rsid w:val="431C742A"/>
    <w:rsid w:val="434343BE"/>
    <w:rsid w:val="44BB3780"/>
    <w:rsid w:val="48A51C70"/>
    <w:rsid w:val="48A73C3A"/>
    <w:rsid w:val="491D214E"/>
    <w:rsid w:val="4ACC4155"/>
    <w:rsid w:val="4C0D2006"/>
    <w:rsid w:val="51277AF0"/>
    <w:rsid w:val="52383C77"/>
    <w:rsid w:val="532D11DF"/>
    <w:rsid w:val="534529CD"/>
    <w:rsid w:val="55D43B94"/>
    <w:rsid w:val="56170651"/>
    <w:rsid w:val="567535C9"/>
    <w:rsid w:val="57CB6E0C"/>
    <w:rsid w:val="5ADA39FB"/>
    <w:rsid w:val="5C033F5C"/>
    <w:rsid w:val="5D665AC3"/>
    <w:rsid w:val="5E0771FD"/>
    <w:rsid w:val="5F55649B"/>
    <w:rsid w:val="60FF240D"/>
    <w:rsid w:val="610D255B"/>
    <w:rsid w:val="62067806"/>
    <w:rsid w:val="62775FD3"/>
    <w:rsid w:val="62893D55"/>
    <w:rsid w:val="631657EC"/>
    <w:rsid w:val="63950891"/>
    <w:rsid w:val="63D74F7B"/>
    <w:rsid w:val="63F21DB5"/>
    <w:rsid w:val="641F19E4"/>
    <w:rsid w:val="64287E7B"/>
    <w:rsid w:val="65566374"/>
    <w:rsid w:val="656A5F8B"/>
    <w:rsid w:val="6639016F"/>
    <w:rsid w:val="663F505A"/>
    <w:rsid w:val="686161E0"/>
    <w:rsid w:val="696F1452"/>
    <w:rsid w:val="69AE203F"/>
    <w:rsid w:val="6A9E67F3"/>
    <w:rsid w:val="6BE1670A"/>
    <w:rsid w:val="6C20316C"/>
    <w:rsid w:val="6CB5251A"/>
    <w:rsid w:val="6CC96C4B"/>
    <w:rsid w:val="6E677844"/>
    <w:rsid w:val="70BD5652"/>
    <w:rsid w:val="71716B68"/>
    <w:rsid w:val="71CF7BDA"/>
    <w:rsid w:val="72B97F33"/>
    <w:rsid w:val="737610F4"/>
    <w:rsid w:val="73BF2645"/>
    <w:rsid w:val="74213FF1"/>
    <w:rsid w:val="74B75A30"/>
    <w:rsid w:val="75564988"/>
    <w:rsid w:val="770E2F52"/>
    <w:rsid w:val="77FC724F"/>
    <w:rsid w:val="79F766C5"/>
    <w:rsid w:val="7A5E31AC"/>
    <w:rsid w:val="7AD7365B"/>
    <w:rsid w:val="7C6B13F4"/>
    <w:rsid w:val="7CAA52B3"/>
    <w:rsid w:val="7CBD64C0"/>
    <w:rsid w:val="7E8F67F4"/>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2"/>
    <w:basedOn w:val="1"/>
    <w:next w:val="1"/>
    <w:link w:val="11"/>
    <w:qFormat/>
    <w:uiPriority w:val="0"/>
    <w:pPr>
      <w:keepNext/>
      <w:keepLines/>
      <w:spacing w:line="360" w:lineRule="auto"/>
      <w:outlineLvl w:val="1"/>
    </w:pPr>
    <w:rPr>
      <w:rFonts w:ascii="Arial" w:hAnsi="Arial" w:eastAsia="宋体" w:cs="Times New Roman"/>
      <w:b/>
      <w:bCs/>
      <w:sz w:val="24"/>
      <w:szCs w:val="32"/>
      <w14:ligatures w14:val="none"/>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paragraph" w:customStyle="1" w:styleId="10">
    <w:name w:val="null3"/>
    <w:hidden/>
    <w:qFormat/>
    <w:uiPriority w:val="0"/>
    <w:rPr>
      <w:rFonts w:hint="eastAsia" w:asciiTheme="minorHAnsi" w:hAnsiTheme="minorHAnsi" w:eastAsiaTheme="minorEastAsia" w:cstheme="minorBidi"/>
      <w:lang w:val="en-US" w:eastAsia="zh-Hans" w:bidi="ar-SA"/>
      <w14:ligatures w14:val="standardContextual"/>
    </w:rPr>
  </w:style>
  <w:style w:type="character" w:customStyle="1" w:styleId="11">
    <w:name w:val="标题 2 字符"/>
    <w:basedOn w:val="8"/>
    <w:link w:val="3"/>
    <w:qFormat/>
    <w:uiPriority w:val="0"/>
    <w:rPr>
      <w:rFonts w:ascii="Arial" w:hAnsi="Arial" w:eastAsia="宋体" w:cs="Times New Roman"/>
      <w:b/>
      <w:bCs/>
      <w:sz w:val="24"/>
      <w:szCs w:val="32"/>
      <w14:ligatures w14:val="none"/>
    </w:rPr>
  </w:style>
  <w:style w:type="character" w:customStyle="1" w:styleId="12">
    <w:name w:val="页眉 字符"/>
    <w:basedOn w:val="8"/>
    <w:link w:val="5"/>
    <w:qFormat/>
    <w:uiPriority w:val="99"/>
    <w:rPr>
      <w:kern w:val="2"/>
      <w:sz w:val="18"/>
      <w:szCs w:val="18"/>
      <w14:ligatures w14:val="standardContextual"/>
    </w:rPr>
  </w:style>
  <w:style w:type="character" w:customStyle="1" w:styleId="13">
    <w:name w:val="页脚 字符"/>
    <w:basedOn w:val="8"/>
    <w:link w:val="4"/>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5220</Words>
  <Characters>5352</Characters>
  <Lines>45</Lines>
  <Paragraphs>12</Paragraphs>
  <TotalTime>8</TotalTime>
  <ScaleCrop>false</ScaleCrop>
  <LinksUpToDate>false</LinksUpToDate>
  <CharactersWithSpaces>5386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2024-09-13T10:19:00Z</dcterms:created>
  <dc:creator>xin chen</dc:creator>
  <cp:lastModifiedBy>Administrator</cp:lastModifiedBy>
  <cp:lastPrinted>2024-09-19T07:50:00Z</cp:lastPrinted>
  <dcterms:modified xsi:type="dcterms:W3CDTF">2024-10-29T03:51:31Z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9F43722B71E945CDBC6A2C803463BEE0_12</vt:lpwstr>
  </property>
</Properties>
</file>