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081DD">
      <w:pPr>
        <w:pStyle w:val="2"/>
        <w:spacing w:before="37"/>
        <w:ind w:right="49"/>
        <w:jc w:val="center"/>
        <w:rPr>
          <w:rFonts w:hint="eastAsia" w:ascii="方正小标宋_GBK" w:hAnsi="方正小标宋_GBK" w:eastAsia="方正小标宋_GBK" w:cs="方正小标宋_GBK"/>
          <w:sz w:val="44"/>
          <w:szCs w:val="44"/>
        </w:rPr>
      </w:pPr>
      <w:bookmarkStart w:id="0" w:name="_Toc28311"/>
      <w:r>
        <w:rPr>
          <w:rFonts w:hint="eastAsia" w:ascii="方正小标宋_GBK" w:hAnsi="方正小标宋_GBK" w:eastAsia="方正小标宋_GBK" w:cs="方正小标宋_GBK"/>
          <w:sz w:val="44"/>
          <w:szCs w:val="44"/>
        </w:rPr>
        <w:t>第</w:t>
      </w:r>
      <w:r>
        <w:rPr>
          <w:rFonts w:hint="eastAsia" w:ascii="方正小标宋_GBK" w:hAnsi="方正小标宋_GBK" w:eastAsia="方正小标宋_GBK" w:cs="方正小标宋_GBK"/>
          <w:sz w:val="44"/>
          <w:szCs w:val="44"/>
          <w:lang w:val="en-US" w:eastAsia="zh-CN"/>
        </w:rPr>
        <w:t>一</w:t>
      </w:r>
      <w:r>
        <w:rPr>
          <w:rFonts w:hint="eastAsia" w:ascii="方正小标宋_GBK" w:hAnsi="方正小标宋_GBK" w:eastAsia="方正小标宋_GBK" w:cs="方正小标宋_GBK"/>
          <w:sz w:val="44"/>
          <w:szCs w:val="44"/>
        </w:rPr>
        <w:t>章 项目技术、商务及其他要求</w:t>
      </w:r>
      <w:bookmarkEnd w:id="0"/>
    </w:p>
    <w:p w14:paraId="2F23B965">
      <w:pPr>
        <w:pStyle w:val="6"/>
        <w:spacing w:before="5"/>
        <w:rPr>
          <w:rFonts w:hint="eastAsia" w:ascii="方正仿宋_GBK" w:hAnsi="方正仿宋_GBK" w:eastAsia="方正仿宋_GBK" w:cs="方正仿宋_GBK"/>
          <w:b/>
          <w:sz w:val="20"/>
        </w:rPr>
      </w:pPr>
    </w:p>
    <w:p w14:paraId="7453DC60">
      <w:pPr>
        <w:pStyle w:val="6"/>
        <w:spacing w:before="5"/>
        <w:rPr>
          <w:rFonts w:hint="eastAsia" w:ascii="方正仿宋_GBK" w:hAnsi="方正仿宋_GBK" w:eastAsia="方正仿宋_GBK" w:cs="方正仿宋_GBK"/>
          <w:b/>
          <w:sz w:val="20"/>
        </w:rPr>
      </w:pPr>
    </w:p>
    <w:p w14:paraId="1AF5479D">
      <w:pPr>
        <w:keepNext w:val="0"/>
        <w:keepLines w:val="0"/>
        <w:pageBreakBefore w:val="0"/>
        <w:kinsoku/>
        <w:wordWrap/>
        <w:overflowPunct/>
        <w:topLinePunct w:val="0"/>
        <w:bidi w:val="0"/>
        <w:adjustRightInd/>
        <w:snapToGrid/>
        <w:spacing w:line="576" w:lineRule="exact"/>
        <w:ind w:firstLine="678" w:firstLineChars="211"/>
        <w:textAlignment w:val="auto"/>
        <w:rPr>
          <w:rFonts w:hint="eastAsia" w:ascii="方正黑体_GBK" w:hAnsi="方正黑体_GBK" w:eastAsia="方正黑体_GBK" w:cs="方正黑体_GBK"/>
          <w:b/>
          <w:sz w:val="32"/>
          <w:szCs w:val="32"/>
        </w:rPr>
      </w:pPr>
      <w:r>
        <w:rPr>
          <w:rFonts w:hint="eastAsia" w:ascii="方正黑体_GBK" w:hAnsi="方正黑体_GBK" w:eastAsia="方正黑体_GBK" w:cs="方正黑体_GBK"/>
          <w:b/>
          <w:sz w:val="32"/>
          <w:szCs w:val="32"/>
          <w:lang w:val="en-US"/>
        </w:rPr>
        <w:t>一</w:t>
      </w:r>
      <w:r>
        <w:rPr>
          <w:rFonts w:hint="eastAsia" w:ascii="方正黑体_GBK" w:hAnsi="方正黑体_GBK" w:eastAsia="方正黑体_GBK" w:cs="方正黑体_GBK"/>
          <w:b/>
          <w:sz w:val="32"/>
          <w:szCs w:val="32"/>
        </w:rPr>
        <w:t>、</w:t>
      </w:r>
      <w:r>
        <w:rPr>
          <w:rFonts w:hint="eastAsia" w:ascii="方正黑体_GBK" w:hAnsi="方正黑体_GBK" w:eastAsia="方正黑体_GBK" w:cs="方正黑体_GBK"/>
          <w:b/>
          <w:sz w:val="32"/>
          <w:szCs w:val="32"/>
          <w:lang w:val="en-US"/>
        </w:rPr>
        <w:t>技术服务</w:t>
      </w:r>
      <w:r>
        <w:rPr>
          <w:rFonts w:hint="eastAsia" w:ascii="方正黑体_GBK" w:hAnsi="方正黑体_GBK" w:eastAsia="方正黑体_GBK" w:cs="方正黑体_GBK"/>
          <w:b/>
          <w:sz w:val="32"/>
          <w:szCs w:val="32"/>
        </w:rPr>
        <w:t>范围和内容</w:t>
      </w:r>
    </w:p>
    <w:p w14:paraId="5BE6807D">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运用智慧化管理模式，</w:t>
      </w:r>
      <w:r>
        <w:rPr>
          <w:rFonts w:hint="eastAsia" w:ascii="仿宋" w:hAnsi="仿宋" w:eastAsia="仿宋" w:cs="仿宋"/>
          <w:color w:val="1F2329"/>
          <w:kern w:val="0"/>
          <w:sz w:val="32"/>
          <w:szCs w:val="32"/>
          <w:lang w:val="en-US" w:eastAsia="zh-CN" w:bidi="ar"/>
        </w:rPr>
        <w:t>严格落实评标活动封闭管理、物理隔离、全程监管要求，防范场外干扰，保障评标工作公平公正开展，规范公共资源交易运行秩序</w:t>
      </w:r>
      <w:r>
        <w:rPr>
          <w:rFonts w:hint="eastAsia" w:ascii="仿宋" w:hAnsi="仿宋" w:eastAsia="仿宋" w:cs="仿宋"/>
          <w:kern w:val="0"/>
          <w:sz w:val="32"/>
          <w:szCs w:val="32"/>
          <w:lang w:val="en-US" w:eastAsia="zh-CN" w:bidi="ar"/>
        </w:rPr>
        <w:t>。</w:t>
      </w:r>
    </w:p>
    <w:p w14:paraId="74D0754D">
      <w:pPr>
        <w:keepNext w:val="0"/>
        <w:keepLines w:val="0"/>
        <w:pageBreakBefore w:val="0"/>
        <w:kinsoku/>
        <w:wordWrap/>
        <w:overflowPunct/>
        <w:topLinePunct w:val="0"/>
        <w:bidi w:val="0"/>
        <w:adjustRightInd/>
        <w:snapToGrid/>
        <w:spacing w:line="576" w:lineRule="exact"/>
        <w:ind w:firstLine="678" w:firstLineChars="211"/>
        <w:textAlignment w:val="auto"/>
        <w:rPr>
          <w:rFonts w:hint="eastAsia" w:ascii="方正黑体_GBK" w:hAnsi="方正黑体_GBK" w:eastAsia="方正黑体_GBK" w:cs="方正黑体_GBK"/>
          <w:b/>
          <w:sz w:val="32"/>
          <w:szCs w:val="32"/>
          <w:lang w:val="en-US"/>
        </w:rPr>
      </w:pPr>
      <w:r>
        <w:rPr>
          <w:rFonts w:hint="eastAsia" w:ascii="方正黑体_GBK" w:hAnsi="方正黑体_GBK" w:eastAsia="方正黑体_GBK" w:cs="方正黑体_GBK"/>
          <w:b/>
          <w:sz w:val="32"/>
          <w:szCs w:val="32"/>
          <w:lang w:val="en-US"/>
        </w:rPr>
        <w:t>二、项目技术服务要求</w:t>
      </w:r>
    </w:p>
    <w:p w14:paraId="0BC3C4E6">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1、项目设计应遵守国家现行的有关法律法规，必须符合造价强制性标准，且标准和内容必须按照本工程项目的有关要求；</w:t>
      </w:r>
    </w:p>
    <w:p w14:paraId="5524527A">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2、能真实反映采购需求状况，评价准确，数据可靠且经过方案比较和计算。</w:t>
      </w:r>
    </w:p>
    <w:p w14:paraId="10B0B835">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3、应符合国家及行业相关规范并通过相关主管部门审批。</w:t>
      </w:r>
    </w:p>
    <w:p w14:paraId="4BCB23AC">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4、技术文件的深度，要能满足相应设计服务阶段的设计要求。</w:t>
      </w:r>
    </w:p>
    <w:p w14:paraId="607C0A12">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5、未尽事宜按有关规定执行。</w:t>
      </w:r>
    </w:p>
    <w:p w14:paraId="11B61C9A">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（一）设计服务原则</w:t>
      </w:r>
    </w:p>
    <w:p w14:paraId="7349E5F5">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（1）协调性原则：设计服务人员应全面掌握该项目所处位置和细节，以及相邻项目的风格，在整个项目进程中充分考虑大环境的协调性；</w:t>
      </w:r>
    </w:p>
    <w:p w14:paraId="6AE69EBA">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（2）经济性原则：各阶段工作应充分挖掘当地的相关资料以及当地的现有的施工技术；采用节能、环保、经济的技术；</w:t>
      </w:r>
    </w:p>
    <w:p w14:paraId="48672582">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（3）新技术原则：各阶段工作应考虑采用适当的新技术、新工艺、新材料；</w:t>
      </w:r>
    </w:p>
    <w:p w14:paraId="62CE267C">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（二）各阶段工作规范的要求</w:t>
      </w:r>
    </w:p>
    <w:p w14:paraId="2B64014B">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各阶段工作文件满足国家和地方性法规和规范的要求，并通过相关主管部门评审。</w:t>
      </w:r>
    </w:p>
    <w:p w14:paraId="27660A4D">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（三）深度要求</w:t>
      </w:r>
    </w:p>
    <w:p w14:paraId="2671457C">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应符合国家有关法律法规和现行设计标准规范规定的深度要求，并通过相关主管部门的评审。</w:t>
      </w:r>
    </w:p>
    <w:p w14:paraId="2611C03A">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黑体" w:hAnsi="黑体" w:eastAsia="黑体" w:cs="黑体"/>
          <w:kern w:val="0"/>
          <w:sz w:val="32"/>
          <w:szCs w:val="32"/>
          <w:lang w:val="en-US" w:eastAsia="zh-CN" w:bidi="ar"/>
        </w:rPr>
      </w:pPr>
      <w:r>
        <w:rPr>
          <w:rFonts w:hint="eastAsia" w:ascii="黑体" w:hAnsi="黑体" w:eastAsia="黑体" w:cs="黑体"/>
          <w:kern w:val="0"/>
          <w:sz w:val="32"/>
          <w:szCs w:val="32"/>
          <w:lang w:val="en-US" w:eastAsia="zh-CN" w:bidi="ar"/>
        </w:rPr>
        <w:t>三、其他重要说明</w:t>
      </w:r>
    </w:p>
    <w:p w14:paraId="43C3A22D">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本项目各阶段工作成果文件的所有版权属于采购人所有。采购人应保护投标单位的知识产权，不得向第三人泄露、转让投标申请文件有关内容。</w:t>
      </w:r>
    </w:p>
    <w:p w14:paraId="1BED229E">
      <w:pPr>
        <w:keepNext w:val="0"/>
        <w:keepLines w:val="0"/>
        <w:pageBreakBefore w:val="0"/>
        <w:kinsoku/>
        <w:wordWrap/>
        <w:overflowPunct/>
        <w:topLinePunct w:val="0"/>
        <w:bidi w:val="0"/>
        <w:adjustRightInd/>
        <w:snapToGrid/>
        <w:spacing w:line="576" w:lineRule="exact"/>
        <w:ind w:firstLine="678" w:firstLineChars="211"/>
        <w:textAlignment w:val="auto"/>
        <w:rPr>
          <w:rFonts w:hint="eastAsia" w:ascii="方正黑体_GBK" w:hAnsi="方正黑体_GBK" w:eastAsia="方正黑体_GBK" w:cs="方正黑体_GBK"/>
          <w:b/>
          <w:sz w:val="32"/>
          <w:szCs w:val="32"/>
          <w:lang w:val="en-US" w:eastAsia="zh-CN"/>
        </w:rPr>
      </w:pPr>
      <w:r>
        <w:rPr>
          <w:rFonts w:hint="eastAsia" w:ascii="方正黑体_GBK" w:hAnsi="方正黑体_GBK" w:eastAsia="方正黑体_GBK" w:cs="方正黑体_GBK"/>
          <w:b/>
          <w:sz w:val="32"/>
          <w:szCs w:val="32"/>
          <w:lang w:val="en-US" w:eastAsia="zh-CN"/>
        </w:rPr>
        <w:t>四、最高限价</w:t>
      </w:r>
    </w:p>
    <w:p w14:paraId="43C09360">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76" w:lineRule="exact"/>
        <w:ind w:left="0" w:firstLine="645"/>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本项目最高限价：本项目按照投标报价的下浮率计算。</w:t>
      </w:r>
    </w:p>
    <w:p w14:paraId="53AB8FE1">
      <w:pPr>
        <w:keepNext w:val="0"/>
        <w:keepLines w:val="0"/>
        <w:pageBreakBefore w:val="0"/>
        <w:kinsoku/>
        <w:wordWrap/>
        <w:overflowPunct/>
        <w:topLinePunct w:val="0"/>
        <w:bidi w:val="0"/>
        <w:adjustRightInd/>
        <w:snapToGrid/>
        <w:spacing w:line="576" w:lineRule="exact"/>
        <w:textAlignment w:val="auto"/>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 xml:space="preserve">     </w:t>
      </w:r>
    </w:p>
    <w:p w14:paraId="667D78FB">
      <w:pP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br w:type="page"/>
      </w:r>
    </w:p>
    <w:p w14:paraId="7BD9F242">
      <w:pPr>
        <w:rPr>
          <w:rFonts w:hint="eastAsia" w:ascii="方正仿宋_GBK" w:hAnsi="方正仿宋_GBK" w:eastAsia="方正仿宋_GBK" w:cs="方正仿宋_GBK"/>
          <w:sz w:val="24"/>
        </w:rPr>
      </w:pPr>
    </w:p>
    <w:p w14:paraId="5B200976">
      <w:pPr>
        <w:keepNext w:val="0"/>
        <w:keepLines w:val="0"/>
        <w:pageBreakBefore w:val="0"/>
        <w:kinsoku/>
        <w:wordWrap/>
        <w:overflowPunct/>
        <w:topLinePunct w:val="0"/>
        <w:autoSpaceDE w:val="0"/>
        <w:autoSpaceDN w:val="0"/>
        <w:bidi w:val="0"/>
        <w:adjustRightInd/>
        <w:snapToGrid/>
        <w:spacing w:afterAutospacing="0" w:line="550" w:lineRule="exact"/>
        <w:jc w:val="center"/>
        <w:textAlignment w:val="auto"/>
        <w:rPr>
          <w:rFonts w:hint="eastAsia" w:ascii="方正小标宋_GBK" w:hAnsi="方正小标宋_GBK" w:eastAsia="方正小标宋_GBK" w:cs="方正小标宋_GBK"/>
          <w:b/>
          <w:bCs/>
          <w:sz w:val="44"/>
          <w:szCs w:val="44"/>
          <w:lang w:eastAsia="zh-CN"/>
        </w:rPr>
      </w:pPr>
      <w:r>
        <w:rPr>
          <w:rFonts w:hint="eastAsia" w:ascii="方正小标宋_GBK" w:hAnsi="方正小标宋_GBK" w:eastAsia="方正小标宋_GBK" w:cs="方正小标宋_GBK"/>
          <w:b/>
          <w:bCs/>
          <w:sz w:val="44"/>
          <w:szCs w:val="44"/>
          <w:lang w:eastAsia="zh-CN"/>
        </w:rPr>
        <w:t>第二章</w:t>
      </w:r>
      <w:r>
        <w:rPr>
          <w:rFonts w:hint="eastAsia" w:ascii="方正小标宋_GBK" w:hAnsi="方正小标宋_GBK" w:eastAsia="方正小标宋_GBK" w:cs="方正小标宋_GBK"/>
          <w:b/>
          <w:bCs/>
          <w:sz w:val="44"/>
          <w:szCs w:val="44"/>
          <w:lang w:val="en-US" w:eastAsia="zh-CN"/>
        </w:rPr>
        <w:t xml:space="preserve">   </w:t>
      </w:r>
      <w:r>
        <w:rPr>
          <w:rFonts w:hint="eastAsia" w:ascii="方正小标宋_GBK" w:hAnsi="方正小标宋_GBK" w:eastAsia="方正小标宋_GBK" w:cs="方正小标宋_GBK"/>
          <w:b/>
          <w:bCs/>
          <w:sz w:val="44"/>
          <w:szCs w:val="44"/>
          <w:lang w:eastAsia="zh-CN"/>
        </w:rPr>
        <w:t>采购需求</w:t>
      </w:r>
    </w:p>
    <w:p w14:paraId="696EB9C7">
      <w:pPr>
        <w:keepNext w:val="0"/>
        <w:keepLines w:val="0"/>
        <w:pageBreakBefore w:val="0"/>
        <w:widowControl/>
        <w:suppressLineNumbers w:val="0"/>
        <w:kinsoku/>
        <w:wordWrap/>
        <w:overflowPunct/>
        <w:topLinePunct w:val="0"/>
        <w:autoSpaceDE/>
        <w:autoSpaceDN/>
        <w:bidi w:val="0"/>
        <w:adjustRightInd/>
        <w:snapToGrid/>
        <w:spacing w:beforeAutospacing="0" w:afterAutospacing="0" w:line="550" w:lineRule="exact"/>
        <w:ind w:firstLine="640" w:firstLineChars="200"/>
        <w:jc w:val="both"/>
        <w:textAlignment w:val="auto"/>
        <w:rPr>
          <w:rFonts w:hint="eastAsia" w:ascii="仿宋" w:hAnsi="仿宋" w:eastAsia="仿宋" w:cs="仿宋"/>
          <w:kern w:val="0"/>
          <w:sz w:val="32"/>
          <w:szCs w:val="32"/>
          <w:lang w:val="en-US" w:eastAsia="zh-CN" w:bidi="ar"/>
        </w:rPr>
      </w:pPr>
      <w:bookmarkStart w:id="1" w:name="_Toc28259"/>
    </w:p>
    <w:p w14:paraId="3954D8B8">
      <w:pPr>
        <w:keepNext w:val="0"/>
        <w:keepLines w:val="0"/>
        <w:pageBreakBefore w:val="0"/>
        <w:widowControl/>
        <w:suppressLineNumbers w:val="0"/>
        <w:kinsoku/>
        <w:wordWrap/>
        <w:overflowPunct/>
        <w:topLinePunct w:val="0"/>
        <w:autoSpaceDE w:val="0"/>
        <w:autoSpaceDN w:val="0"/>
        <w:bidi w:val="0"/>
        <w:adjustRightInd/>
        <w:snapToGrid/>
        <w:spacing w:afterAutospacing="0" w:line="550" w:lineRule="exact"/>
        <w:ind w:firstLine="640" w:firstLineChars="200"/>
        <w:jc w:val="left"/>
        <w:textAlignment w:val="auto"/>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一、项目需求</w:t>
      </w:r>
    </w:p>
    <w:p w14:paraId="1BD8E1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eastAsia" w:ascii="仿宋" w:hAnsi="仿宋" w:eastAsia="仿宋" w:cs="仿宋"/>
          <w:color w:val="1F2329"/>
          <w:kern w:val="0"/>
          <w:sz w:val="32"/>
          <w:szCs w:val="32"/>
          <w:lang w:val="en-US" w:eastAsia="zh-CN" w:bidi="ar"/>
        </w:rPr>
      </w:pPr>
      <w:r>
        <w:rPr>
          <w:rFonts w:hint="eastAsia" w:ascii="仿宋" w:hAnsi="仿宋" w:eastAsia="仿宋" w:cs="仿宋"/>
          <w:color w:val="1F2329"/>
          <w:kern w:val="0"/>
          <w:sz w:val="32"/>
          <w:szCs w:val="32"/>
          <w:lang w:val="en-US" w:eastAsia="zh-CN" w:bidi="ar"/>
        </w:rPr>
        <w:t xml:space="preserve">本次新增独立评标区坚持 “物理隔离、封闭运行、功能齐全、智能管控、安全保密” 原则，统筹空间布局、硬件设施、信息化系统一体化建设。 </w:t>
      </w:r>
    </w:p>
    <w:p w14:paraId="10B5FE2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eastAsia" w:ascii="仿宋" w:hAnsi="仿宋" w:eastAsia="仿宋" w:cs="仿宋"/>
          <w:color w:val="1F2329"/>
          <w:kern w:val="0"/>
          <w:sz w:val="32"/>
          <w:szCs w:val="32"/>
          <w:lang w:val="en-US" w:eastAsia="zh-CN" w:bidi="ar"/>
        </w:rPr>
      </w:pPr>
      <w:r>
        <w:rPr>
          <w:rFonts w:hint="eastAsia" w:ascii="仿宋" w:hAnsi="仿宋" w:eastAsia="仿宋" w:cs="仿宋"/>
          <w:b/>
          <w:bCs/>
          <w:color w:val="1F2329"/>
          <w:kern w:val="0"/>
          <w:sz w:val="32"/>
          <w:szCs w:val="32"/>
          <w:lang w:val="en-US" w:eastAsia="zh-CN" w:bidi="ar"/>
        </w:rPr>
        <w:t>（一）4楼阳台场地空间改造建设。</w:t>
      </w:r>
      <w:r>
        <w:rPr>
          <w:rFonts w:hint="eastAsia" w:ascii="仿宋" w:hAnsi="仿宋" w:eastAsia="仿宋" w:cs="仿宋"/>
          <w:color w:val="1F2329"/>
          <w:kern w:val="0"/>
          <w:sz w:val="32"/>
          <w:szCs w:val="32"/>
          <w:lang w:val="en-US" w:eastAsia="zh-CN" w:bidi="ar"/>
        </w:rPr>
        <w:t xml:space="preserve">划定独立封闭区域，实行单向动线设计，与交易大厅、开标区、对外服务区完全物理隔断。规划建设若干标准化评标室，配套设置独立专家等候区、封闭休息室、评标资料专用档案室、封闭答疑室、物资存放间等功能用房，实现专家进出、等候、评标、休息全流程不与外界人员交叉接触。 </w:t>
      </w:r>
    </w:p>
    <w:p w14:paraId="40C90A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eastAsia" w:ascii="仿宋" w:hAnsi="仿宋" w:eastAsia="仿宋" w:cs="仿宋"/>
          <w:color w:val="1F2329"/>
          <w:kern w:val="0"/>
          <w:sz w:val="32"/>
          <w:szCs w:val="32"/>
          <w:lang w:val="en-US" w:eastAsia="zh-CN" w:bidi="ar"/>
        </w:rPr>
      </w:pPr>
      <w:r>
        <w:rPr>
          <w:rFonts w:hint="eastAsia" w:ascii="仿宋" w:hAnsi="仿宋" w:eastAsia="仿宋" w:cs="仿宋"/>
          <w:b/>
          <w:bCs/>
          <w:color w:val="1F2329"/>
          <w:kern w:val="0"/>
          <w:sz w:val="32"/>
          <w:szCs w:val="32"/>
          <w:lang w:val="en-US" w:eastAsia="zh-CN" w:bidi="ar"/>
        </w:rPr>
        <w:t>（二）建立安防隔离设施。</w:t>
      </w:r>
      <w:r>
        <w:rPr>
          <w:rFonts w:hint="eastAsia" w:ascii="仿宋" w:hAnsi="仿宋" w:eastAsia="仿宋" w:cs="仿宋"/>
          <w:color w:val="1F2329"/>
          <w:kern w:val="0"/>
          <w:sz w:val="32"/>
          <w:szCs w:val="32"/>
          <w:lang w:val="en-US" w:eastAsia="zh-CN" w:bidi="ar"/>
        </w:rPr>
        <w:t xml:space="preserve">设置专属门禁系统，实行身份识别准入管控；建设独立通道，实现专家进出路线与办事人员通道完全分离；配置防窥隔断、隔音设施，强化空间保密条件。 </w:t>
      </w:r>
    </w:p>
    <w:p w14:paraId="04DFF6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eastAsia" w:ascii="仿宋" w:hAnsi="仿宋" w:eastAsia="仿宋" w:cs="仿宋"/>
          <w:color w:val="1F2329"/>
          <w:kern w:val="0"/>
          <w:sz w:val="32"/>
          <w:szCs w:val="32"/>
          <w:lang w:val="en-US" w:eastAsia="zh-CN" w:bidi="ar"/>
        </w:rPr>
      </w:pPr>
      <w:r>
        <w:rPr>
          <w:rFonts w:hint="eastAsia" w:ascii="仿宋" w:hAnsi="仿宋" w:eastAsia="仿宋" w:cs="仿宋"/>
          <w:b/>
          <w:bCs/>
          <w:color w:val="1F2329"/>
          <w:kern w:val="0"/>
          <w:sz w:val="32"/>
          <w:szCs w:val="32"/>
          <w:lang w:val="en-US" w:eastAsia="zh-CN" w:bidi="ar"/>
        </w:rPr>
        <w:t>（三）布设智能监管系统。</w:t>
      </w:r>
      <w:r>
        <w:rPr>
          <w:rFonts w:hint="eastAsia" w:ascii="仿宋" w:hAnsi="仿宋" w:eastAsia="仿宋" w:cs="仿宋"/>
          <w:color w:val="1F2329"/>
          <w:kern w:val="0"/>
          <w:sz w:val="32"/>
          <w:szCs w:val="32"/>
          <w:lang w:val="en-US" w:eastAsia="zh-CN" w:bidi="ar"/>
        </w:rPr>
        <w:t xml:space="preserve">全覆盖安装高清音视频监控系统，同步部署无线信号屏蔽装置、环境拾音设备；完善时钟同步、视频存储系统，实现评标全过程不间断录制、资料长期留存，满足监管、溯源、调证需求。 </w:t>
      </w:r>
    </w:p>
    <w:p w14:paraId="7A6FAE2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3"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bCs/>
          <w:color w:val="1F2329"/>
          <w:kern w:val="0"/>
          <w:sz w:val="32"/>
          <w:szCs w:val="32"/>
          <w:lang w:val="en-US" w:eastAsia="zh-CN" w:bidi="ar"/>
        </w:rPr>
        <w:t>（四）完善配套基础设施。</w:t>
      </w:r>
      <w:r>
        <w:rPr>
          <w:rFonts w:hint="eastAsia" w:ascii="仿宋" w:hAnsi="仿宋" w:eastAsia="仿宋" w:cs="仿宋"/>
          <w:color w:val="1F2329"/>
          <w:kern w:val="0"/>
          <w:sz w:val="32"/>
          <w:szCs w:val="32"/>
          <w:lang w:val="en-US" w:eastAsia="zh-CN" w:bidi="ar"/>
        </w:rPr>
        <w:t>统一建设强弱电、网络专线、通风空调、消防设施；配套部署电子化评标终端、打印复印专用设备，搭建安全内网，实现外网物理隔绝，保障电子评标系统安全稳定运行。</w:t>
      </w:r>
    </w:p>
    <w:p w14:paraId="0820735F">
      <w:pPr>
        <w:keepNext w:val="0"/>
        <w:keepLines w:val="0"/>
        <w:pageBreakBefore w:val="0"/>
        <w:kinsoku/>
        <w:wordWrap/>
        <w:overflowPunct/>
        <w:topLinePunct w:val="0"/>
        <w:bidi w:val="0"/>
        <w:adjustRightInd/>
        <w:snapToGrid/>
        <w:spacing w:line="550" w:lineRule="exact"/>
        <w:textAlignment w:val="auto"/>
        <w:rPr>
          <w:rFonts w:hint="default"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 xml:space="preserve">    </w:t>
      </w:r>
      <w:r>
        <w:rPr>
          <w:rFonts w:hint="eastAsia" w:ascii="仿宋" w:hAnsi="仿宋" w:eastAsia="仿宋" w:cs="仿宋"/>
          <w:b/>
          <w:bCs/>
          <w:kern w:val="0"/>
          <w:sz w:val="32"/>
          <w:szCs w:val="32"/>
          <w:lang w:val="en-US" w:eastAsia="zh-CN" w:bidi="ar"/>
        </w:rPr>
        <w:t>（五）按照国家关于公共资源交易资料规范化存储规定其他事项。</w:t>
      </w:r>
    </w:p>
    <w:p w14:paraId="080C00BA">
      <w:pPr>
        <w:keepNext w:val="0"/>
        <w:keepLines w:val="0"/>
        <w:pageBreakBefore w:val="0"/>
        <w:widowControl/>
        <w:suppressLineNumbers w:val="0"/>
        <w:kinsoku/>
        <w:wordWrap/>
        <w:overflowPunct/>
        <w:topLinePunct w:val="0"/>
        <w:autoSpaceDE w:val="0"/>
        <w:autoSpaceDN w:val="0"/>
        <w:bidi w:val="0"/>
        <w:adjustRightInd/>
        <w:snapToGrid/>
        <w:spacing w:afterAutospacing="0" w:line="55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二</w:t>
      </w:r>
      <w:r>
        <w:rPr>
          <w:rFonts w:hint="eastAsia" w:ascii="方正黑体_GBK" w:hAnsi="方正黑体_GBK" w:eastAsia="方正黑体_GBK" w:cs="方正黑体_GBK"/>
          <w:sz w:val="32"/>
          <w:szCs w:val="32"/>
        </w:rPr>
        <w:t>、服务成果交付要求</w:t>
      </w:r>
    </w:p>
    <w:p w14:paraId="2B905AA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进场服务30日内提交针对性的新增独立评标区项目设计实施方案，明确设计范围、设计流程、工作进度、项目概算及工作举措。服务期满后，提交设计方案和设计概算。</w:t>
      </w:r>
    </w:p>
    <w:p w14:paraId="5C1C3C9F">
      <w:pPr>
        <w:keepNext w:val="0"/>
        <w:keepLines w:val="0"/>
        <w:pageBreakBefore w:val="0"/>
        <w:widowControl/>
        <w:suppressLineNumbers w:val="0"/>
        <w:kinsoku/>
        <w:wordWrap/>
        <w:overflowPunct/>
        <w:topLinePunct w:val="0"/>
        <w:autoSpaceDE w:val="0"/>
        <w:autoSpaceDN w:val="0"/>
        <w:bidi w:val="0"/>
        <w:adjustRightInd/>
        <w:snapToGrid/>
        <w:spacing w:afterAutospacing="0" w:line="55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三</w:t>
      </w:r>
      <w:r>
        <w:rPr>
          <w:rFonts w:hint="eastAsia" w:ascii="方正黑体_GBK" w:hAnsi="方正黑体_GBK" w:eastAsia="方正黑体_GBK" w:cs="方正黑体_GBK"/>
          <w:sz w:val="32"/>
          <w:szCs w:val="32"/>
        </w:rPr>
        <w:t>、服务期限</w:t>
      </w:r>
    </w:p>
    <w:p w14:paraId="0FD9C42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本项目服务期限为自合同签订之日起至全面完成设计工作，设计服务商需在合同约定周期内完成全部设计工作及成果交付；如需配合采购人完成后续整改复核、资料补充、专项核查等工作，需免费提供后续配套服务。</w:t>
      </w:r>
    </w:p>
    <w:p w14:paraId="137037C9">
      <w:pPr>
        <w:keepNext w:val="0"/>
        <w:keepLines w:val="0"/>
        <w:pageBreakBefore w:val="0"/>
        <w:widowControl/>
        <w:suppressLineNumbers w:val="0"/>
        <w:kinsoku/>
        <w:wordWrap/>
        <w:overflowPunct/>
        <w:topLinePunct w:val="0"/>
        <w:autoSpaceDE w:val="0"/>
        <w:autoSpaceDN w:val="0"/>
        <w:bidi w:val="0"/>
        <w:adjustRightInd/>
        <w:snapToGrid/>
        <w:spacing w:afterAutospacing="0" w:line="55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、验收标准</w:t>
      </w:r>
    </w:p>
    <w:p w14:paraId="5153781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1. 设计服务商完整履行合同约定的全部设计服务内容，设计流程规范、合法，无违规操作。</w:t>
      </w:r>
    </w:p>
    <w:p w14:paraId="24EE6BF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2. 交付的各类设计成果文件完整、规范、真实、准确，内容全面覆盖采购需求所有设计要点，格式符合采购人要求。</w:t>
      </w:r>
    </w:p>
    <w:p w14:paraId="4507304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3. 设计内容全面，无重大遗漏事项，设计分析精准，设计方案具备可落地性、针对性。</w:t>
      </w:r>
    </w:p>
    <w:p w14:paraId="01E412A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4. 全程服务响应及时、配合到位，圆满完成各项设计及配套服务工作，无投诉、无工作失误、无违规违纪行为。</w:t>
      </w:r>
    </w:p>
    <w:p w14:paraId="10C19E3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5. 所有问题整改闭环到位，形成完善的管理优化成果，达到采购人风险防控、规范管理、提质增效的设计目标。</w:t>
      </w:r>
    </w:p>
    <w:p w14:paraId="639E7002">
      <w:pPr>
        <w:keepNext w:val="0"/>
        <w:keepLines w:val="0"/>
        <w:pageBreakBefore w:val="0"/>
        <w:widowControl/>
        <w:suppressLineNumbers w:val="0"/>
        <w:kinsoku/>
        <w:wordWrap/>
        <w:overflowPunct/>
        <w:topLinePunct w:val="0"/>
        <w:autoSpaceDE w:val="0"/>
        <w:autoSpaceDN w:val="0"/>
        <w:bidi w:val="0"/>
        <w:adjustRightInd/>
        <w:snapToGrid/>
        <w:spacing w:afterAutospacing="0" w:line="55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、其他要求</w:t>
      </w:r>
    </w:p>
    <w:p w14:paraId="57AF1B88">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1. 本项目为包干总价，包含人员服务费、差旅费、资料费、成果编制费、税费、后续配套服务费等所有相关费用，采购人无需额外支付其他费用。</w:t>
      </w:r>
    </w:p>
    <w:p w14:paraId="423383E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2. 设计服务商不得转包、分包本项目服务，一经发现，采购人有权单方面解除合同、不予支付款项，并追究相关违约责任。</w:t>
      </w:r>
    </w:p>
    <w:p w14:paraId="4218571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eastAsia" w:ascii="仿宋" w:hAnsi="仿宋" w:eastAsia="仿宋" w:cs="仿宋"/>
          <w:b w:val="0"/>
          <w:bCs w:val="0"/>
          <w:kern w:val="0"/>
          <w:sz w:val="32"/>
          <w:szCs w:val="32"/>
          <w:lang w:val="en-US" w:eastAsia="zh-CN" w:bidi="ar"/>
        </w:rPr>
      </w:pPr>
      <w:r>
        <w:rPr>
          <w:rFonts w:hint="eastAsia" w:ascii="仿宋" w:hAnsi="仿宋" w:eastAsia="仿宋" w:cs="仿宋"/>
          <w:b w:val="0"/>
          <w:bCs w:val="0"/>
          <w:kern w:val="0"/>
          <w:sz w:val="32"/>
          <w:szCs w:val="32"/>
          <w:lang w:val="en-US" w:eastAsia="zh-CN" w:bidi="ar"/>
        </w:rPr>
        <w:t>3. 若因设计服务商设计失误、漏项、错审、资料造假等问题导致采购人产生损失、合规风险或上级追责，由设计服务商承担全部责任，并无偿整改修复，同时承担相应赔偿责任。</w:t>
      </w:r>
    </w:p>
    <w:p w14:paraId="2ACBA4CF">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firstLine="640" w:firstLineChars="200"/>
        <w:jc w:val="both"/>
        <w:textAlignment w:val="auto"/>
        <w:rPr>
          <w:rFonts w:hint="eastAsia" w:ascii="方正仿宋_GBK" w:hAnsi="方正仿宋_GBK" w:eastAsia="方正仿宋_GBK" w:cs="方正仿宋_GBK"/>
        </w:rPr>
      </w:pPr>
      <w:r>
        <w:rPr>
          <w:rFonts w:hint="eastAsia" w:ascii="仿宋" w:hAnsi="仿宋" w:eastAsia="仿宋" w:cs="仿宋"/>
          <w:b w:val="0"/>
          <w:bCs w:val="0"/>
          <w:kern w:val="0"/>
          <w:sz w:val="32"/>
          <w:szCs w:val="32"/>
          <w:lang w:val="en-US" w:eastAsia="zh-CN" w:bidi="ar"/>
        </w:rPr>
        <w:t>4.设计取费参照《工程勘察设计收费导则（第二版）》信息化工程类计费标准执行。</w:t>
      </w:r>
    </w:p>
    <w:p w14:paraId="70557AB1">
      <w:pPr>
        <w:pStyle w:val="2"/>
        <w:tabs>
          <w:tab w:val="left" w:pos="4792"/>
        </w:tabs>
        <w:ind w:left="3348" w:right="0"/>
        <w:jc w:val="left"/>
        <w:rPr>
          <w:rFonts w:hint="eastAsia" w:ascii="方正仿宋_GBK" w:hAnsi="方正仿宋_GBK" w:eastAsia="方正仿宋_GBK" w:cs="方正仿宋_GBK"/>
        </w:rPr>
      </w:pPr>
    </w:p>
    <w:p w14:paraId="469EC3BC">
      <w:pPr>
        <w:pStyle w:val="2"/>
        <w:tabs>
          <w:tab w:val="left" w:pos="4792"/>
        </w:tabs>
        <w:ind w:left="3348" w:right="0"/>
        <w:jc w:val="left"/>
        <w:rPr>
          <w:rFonts w:hint="eastAsia" w:ascii="方正仿宋_GBK" w:hAnsi="方正仿宋_GBK" w:eastAsia="方正仿宋_GBK" w:cs="方正仿宋_GBK"/>
        </w:rPr>
      </w:pPr>
      <w:r>
        <w:rPr>
          <w:rFonts w:hint="eastAsia" w:ascii="方正仿宋_GBK" w:hAnsi="方正仿宋_GBK" w:eastAsia="方正仿宋_GBK" w:cs="方正仿宋_GBK"/>
        </w:rPr>
        <w:t>第</w:t>
      </w:r>
      <w:r>
        <w:rPr>
          <w:rFonts w:hint="eastAsia" w:ascii="方正仿宋_GBK" w:hAnsi="方正仿宋_GBK" w:eastAsia="方正仿宋_GBK" w:cs="方正仿宋_GBK"/>
          <w:lang w:val="en-US" w:eastAsia="zh-CN"/>
        </w:rPr>
        <w:t>三</w:t>
      </w:r>
      <w:r>
        <w:rPr>
          <w:rFonts w:hint="eastAsia" w:ascii="方正仿宋_GBK" w:hAnsi="方正仿宋_GBK" w:eastAsia="方正仿宋_GBK" w:cs="方正仿宋_GBK"/>
        </w:rPr>
        <w:t>章</w:t>
      </w:r>
      <w:r>
        <w:rPr>
          <w:rFonts w:hint="eastAsia" w:ascii="方正仿宋_GBK" w:hAnsi="方正仿宋_GBK" w:eastAsia="方正仿宋_GBK" w:cs="方正仿宋_GBK"/>
        </w:rPr>
        <w:tab/>
      </w:r>
      <w:r>
        <w:rPr>
          <w:rFonts w:hint="eastAsia" w:ascii="方正仿宋_GBK" w:hAnsi="方正仿宋_GBK" w:eastAsia="方正仿宋_GBK" w:cs="方正仿宋_GBK"/>
        </w:rPr>
        <w:t>评审办法</w:t>
      </w:r>
      <w:bookmarkEnd w:id="1"/>
    </w:p>
    <w:p w14:paraId="1BB349C2">
      <w:pPr>
        <w:pStyle w:val="6"/>
        <w:spacing w:before="7"/>
        <w:rPr>
          <w:rFonts w:hint="eastAsia" w:ascii="方正仿宋_GBK" w:hAnsi="方正仿宋_GBK" w:eastAsia="方正仿宋_GBK" w:cs="方正仿宋_GBK"/>
          <w:sz w:val="9"/>
        </w:rPr>
      </w:pPr>
      <w:bookmarkStart w:id="2" w:name="1._总则"/>
      <w:bookmarkEnd w:id="2"/>
    </w:p>
    <w:p w14:paraId="0E966D24">
      <w:pPr>
        <w:spacing w:line="360" w:lineRule="auto"/>
        <w:rPr>
          <w:rFonts w:hint="eastAsia" w:ascii="方正仿宋_GBK" w:hAnsi="方正仿宋_GBK" w:eastAsia="方正仿宋_GBK" w:cs="方正仿宋_GBK"/>
          <w:b/>
          <w:bCs/>
          <w:sz w:val="24"/>
        </w:rPr>
      </w:pPr>
    </w:p>
    <w:p w14:paraId="594B28C4">
      <w:pP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资格审查标准见下表：</w:t>
      </w:r>
    </w:p>
    <w:p w14:paraId="1AF00947">
      <w:pPr>
        <w:rPr>
          <w:rFonts w:hint="eastAsia" w:ascii="方正仿宋_GBK" w:hAnsi="方正仿宋_GBK" w:eastAsia="方正仿宋_GBK" w:cs="方正仿宋_GBK"/>
          <w:b/>
          <w:bCs/>
          <w:sz w:val="28"/>
          <w:szCs w:val="28"/>
        </w:rPr>
      </w:pPr>
    </w:p>
    <w:tbl>
      <w:tblPr>
        <w:tblStyle w:val="11"/>
        <w:tblW w:w="49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3731"/>
        <w:gridCol w:w="5997"/>
      </w:tblGrid>
      <w:tr w14:paraId="47A3E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697" w:type="dxa"/>
            <w:vAlign w:val="center"/>
          </w:tcPr>
          <w:p w14:paraId="6C48D8E2">
            <w:pPr>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序号</w:t>
            </w:r>
          </w:p>
        </w:tc>
        <w:tc>
          <w:tcPr>
            <w:tcW w:w="3731" w:type="dxa"/>
            <w:vAlign w:val="center"/>
          </w:tcPr>
          <w:p w14:paraId="53ED77EB">
            <w:pPr>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资格性审查项</w:t>
            </w:r>
          </w:p>
        </w:tc>
        <w:tc>
          <w:tcPr>
            <w:tcW w:w="5997" w:type="dxa"/>
            <w:vAlign w:val="center"/>
          </w:tcPr>
          <w:p w14:paraId="503A8B11">
            <w:pPr>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通过条件</w:t>
            </w:r>
          </w:p>
        </w:tc>
      </w:tr>
      <w:tr w14:paraId="4B49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697" w:type="dxa"/>
            <w:vAlign w:val="center"/>
          </w:tcPr>
          <w:p w14:paraId="5988264E">
            <w:pPr>
              <w:spacing w:line="360" w:lineRule="auto"/>
              <w:jc w:val="center"/>
              <w:rPr>
                <w:rFonts w:hint="eastAsia" w:ascii="仿宋" w:hAnsi="仿宋" w:eastAsia="仿宋" w:cs="仿宋"/>
                <w:bCs/>
                <w:sz w:val="28"/>
                <w:szCs w:val="28"/>
              </w:rPr>
            </w:pPr>
            <w:r>
              <w:rPr>
                <w:rFonts w:hint="eastAsia" w:ascii="仿宋" w:hAnsi="仿宋" w:eastAsia="仿宋" w:cs="仿宋"/>
                <w:sz w:val="28"/>
                <w:szCs w:val="28"/>
              </w:rPr>
              <w:t>1</w:t>
            </w:r>
          </w:p>
        </w:tc>
        <w:tc>
          <w:tcPr>
            <w:tcW w:w="3731" w:type="dxa"/>
            <w:vAlign w:val="center"/>
          </w:tcPr>
          <w:p w14:paraId="56F7E1E4">
            <w:pPr>
              <w:rPr>
                <w:rFonts w:hint="eastAsia" w:ascii="仿宋" w:hAnsi="仿宋" w:eastAsia="仿宋" w:cs="仿宋"/>
                <w:sz w:val="28"/>
                <w:szCs w:val="28"/>
              </w:rPr>
            </w:pPr>
            <w:r>
              <w:rPr>
                <w:rFonts w:hint="eastAsia" w:ascii="仿宋" w:hAnsi="仿宋" w:eastAsia="仿宋" w:cs="仿宋"/>
                <w:bCs/>
                <w:sz w:val="28"/>
                <w:szCs w:val="28"/>
              </w:rPr>
              <w:t>具有独立承担民事责任的能力</w:t>
            </w:r>
          </w:p>
        </w:tc>
        <w:tc>
          <w:tcPr>
            <w:tcW w:w="5997" w:type="dxa"/>
            <w:vAlign w:val="center"/>
          </w:tcPr>
          <w:p w14:paraId="66E13C25">
            <w:pPr>
              <w:rPr>
                <w:rFonts w:hint="eastAsia" w:ascii="仿宋" w:hAnsi="仿宋" w:eastAsia="仿宋" w:cs="仿宋"/>
                <w:sz w:val="28"/>
                <w:szCs w:val="28"/>
              </w:rPr>
            </w:pPr>
            <w:r>
              <w:rPr>
                <w:rFonts w:hint="eastAsia" w:ascii="仿宋" w:hAnsi="仿宋" w:eastAsia="仿宋" w:cs="仿宋"/>
                <w:bCs/>
                <w:sz w:val="28"/>
                <w:szCs w:val="28"/>
              </w:rPr>
              <w:t>提供投标人合法成立的营业执照或法人证书复印件</w:t>
            </w:r>
          </w:p>
        </w:tc>
      </w:tr>
      <w:tr w14:paraId="61D94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7" w:hRule="atLeast"/>
          <w:jc w:val="center"/>
        </w:trPr>
        <w:tc>
          <w:tcPr>
            <w:tcW w:w="697" w:type="dxa"/>
            <w:vAlign w:val="center"/>
          </w:tcPr>
          <w:p w14:paraId="152E74AA">
            <w:pPr>
              <w:spacing w:line="360" w:lineRule="auto"/>
              <w:jc w:val="center"/>
              <w:rPr>
                <w:rFonts w:hint="eastAsia" w:ascii="仿宋" w:hAnsi="仿宋" w:eastAsia="仿宋" w:cs="仿宋"/>
                <w:bCs/>
                <w:sz w:val="28"/>
                <w:szCs w:val="28"/>
              </w:rPr>
            </w:pPr>
            <w:r>
              <w:rPr>
                <w:rFonts w:hint="eastAsia" w:ascii="仿宋" w:hAnsi="仿宋" w:eastAsia="仿宋" w:cs="仿宋"/>
                <w:bCs/>
                <w:sz w:val="28"/>
                <w:szCs w:val="28"/>
              </w:rPr>
              <w:t>2</w:t>
            </w:r>
          </w:p>
        </w:tc>
        <w:tc>
          <w:tcPr>
            <w:tcW w:w="3731" w:type="dxa"/>
            <w:vAlign w:val="center"/>
          </w:tcPr>
          <w:p w14:paraId="6230F1B5">
            <w:pPr>
              <w:rPr>
                <w:rFonts w:hint="eastAsia" w:ascii="仿宋" w:hAnsi="仿宋" w:eastAsia="仿宋" w:cs="仿宋"/>
                <w:sz w:val="28"/>
                <w:szCs w:val="28"/>
              </w:rPr>
            </w:pPr>
            <w:r>
              <w:rPr>
                <w:rFonts w:hint="eastAsia" w:ascii="仿宋" w:hAnsi="仿宋" w:eastAsia="仿宋" w:cs="仿宋"/>
                <w:sz w:val="28"/>
                <w:szCs w:val="28"/>
              </w:rPr>
              <w:t>具有良好的商业信誉和健全的财务会计制度</w:t>
            </w:r>
          </w:p>
        </w:tc>
        <w:tc>
          <w:tcPr>
            <w:tcW w:w="5997" w:type="dxa"/>
            <w:vAlign w:val="center"/>
          </w:tcPr>
          <w:p w14:paraId="1A99D8CF">
            <w:pPr>
              <w:numPr>
                <w:ilvl w:val="0"/>
                <w:numId w:val="2"/>
              </w:numPr>
              <w:rPr>
                <w:rFonts w:hint="eastAsia" w:ascii="仿宋" w:hAnsi="仿宋" w:eastAsia="仿宋" w:cs="仿宋"/>
                <w:sz w:val="28"/>
                <w:szCs w:val="28"/>
              </w:rPr>
            </w:pPr>
            <w:r>
              <w:rPr>
                <w:rFonts w:hint="eastAsia" w:ascii="仿宋" w:hAnsi="仿宋" w:eastAsia="仿宋" w:cs="仿宋"/>
                <w:sz w:val="28"/>
                <w:szCs w:val="28"/>
              </w:rPr>
              <w:t>具有良好的商业信誉：</w:t>
            </w:r>
            <w:r>
              <w:rPr>
                <w:rFonts w:hint="eastAsia" w:ascii="仿宋" w:hAnsi="仿宋" w:eastAsia="仿宋" w:cs="仿宋"/>
                <w:sz w:val="28"/>
                <w:szCs w:val="28"/>
                <w:lang w:val="en-US"/>
              </w:rPr>
              <w:t>由投标人提供承诺函。</w:t>
            </w:r>
          </w:p>
          <w:p w14:paraId="55A9B44A">
            <w:pPr>
              <w:numPr>
                <w:ilvl w:val="0"/>
                <w:numId w:val="2"/>
              </w:numPr>
              <w:rPr>
                <w:rFonts w:hint="eastAsia" w:ascii="仿宋" w:hAnsi="仿宋" w:eastAsia="仿宋" w:cs="仿宋"/>
                <w:sz w:val="28"/>
                <w:szCs w:val="28"/>
              </w:rPr>
            </w:pPr>
            <w:r>
              <w:rPr>
                <w:rFonts w:hint="eastAsia" w:ascii="仿宋" w:hAnsi="仿宋" w:eastAsia="仿宋" w:cs="仿宋"/>
                <w:sz w:val="28"/>
                <w:szCs w:val="28"/>
              </w:rPr>
              <w:t>具有健全的财务会计制度：由投标人提供相关证明材料</w:t>
            </w:r>
            <w:r>
              <w:rPr>
                <w:rFonts w:hint="eastAsia" w:ascii="仿宋" w:hAnsi="仿宋" w:eastAsia="仿宋" w:cs="仿宋"/>
                <w:sz w:val="28"/>
                <w:szCs w:val="28"/>
                <w:lang w:val="en-US"/>
              </w:rPr>
              <w:t>或承诺函</w:t>
            </w:r>
            <w:r>
              <w:rPr>
                <w:rFonts w:hint="eastAsia" w:ascii="仿宋" w:hAnsi="仿宋" w:eastAsia="仿宋" w:cs="仿宋"/>
                <w:sz w:val="28"/>
                <w:szCs w:val="28"/>
              </w:rPr>
              <w:t>【注：证明材料</w:t>
            </w:r>
            <w:r>
              <w:rPr>
                <w:rFonts w:hint="eastAsia" w:ascii="仿宋" w:hAnsi="仿宋" w:eastAsia="仿宋" w:cs="仿宋"/>
                <w:sz w:val="28"/>
                <w:szCs w:val="28"/>
                <w:lang w:val="en-US"/>
              </w:rPr>
              <w:t>需</w:t>
            </w:r>
            <w:r>
              <w:rPr>
                <w:rFonts w:hint="eastAsia" w:ascii="仿宋" w:hAnsi="仿宋" w:eastAsia="仿宋" w:cs="仿宋"/>
                <w:sz w:val="28"/>
                <w:szCs w:val="28"/>
              </w:rPr>
              <w:t>提供202</w:t>
            </w:r>
            <w:r>
              <w:rPr>
                <w:rFonts w:hint="eastAsia" w:ascii="仿宋" w:hAnsi="仿宋" w:eastAsia="仿宋" w:cs="仿宋"/>
                <w:sz w:val="28"/>
                <w:szCs w:val="28"/>
                <w:lang w:val="en-US" w:eastAsia="zh-CN"/>
              </w:rPr>
              <w:t>4</w:t>
            </w:r>
            <w:r>
              <w:rPr>
                <w:rFonts w:hint="eastAsia" w:ascii="仿宋" w:hAnsi="仿宋" w:eastAsia="仿宋" w:cs="仿宋"/>
                <w:sz w:val="28"/>
                <w:szCs w:val="28"/>
              </w:rPr>
              <w:t>年度或20</w:t>
            </w:r>
            <w:r>
              <w:rPr>
                <w:rFonts w:hint="eastAsia" w:ascii="仿宋" w:hAnsi="仿宋" w:eastAsia="仿宋" w:cs="仿宋"/>
                <w:sz w:val="28"/>
                <w:szCs w:val="28"/>
                <w:lang w:val="en-US"/>
              </w:rPr>
              <w:t>2</w:t>
            </w:r>
            <w:r>
              <w:rPr>
                <w:rFonts w:hint="eastAsia" w:ascii="仿宋" w:hAnsi="仿宋" w:eastAsia="仿宋" w:cs="仿宋"/>
                <w:sz w:val="28"/>
                <w:szCs w:val="28"/>
                <w:lang w:val="en-US" w:eastAsia="zh-CN"/>
              </w:rPr>
              <w:t>5</w:t>
            </w:r>
            <w:r>
              <w:rPr>
                <w:rFonts w:hint="eastAsia" w:ascii="仿宋" w:hAnsi="仿宋" w:eastAsia="仿宋" w:cs="仿宋"/>
                <w:sz w:val="28"/>
                <w:szCs w:val="28"/>
              </w:rPr>
              <w:t>年度经</w:t>
            </w:r>
            <w:r>
              <w:rPr>
                <w:rFonts w:hint="eastAsia" w:ascii="仿宋" w:hAnsi="仿宋" w:eastAsia="仿宋" w:cs="仿宋"/>
                <w:sz w:val="28"/>
                <w:szCs w:val="28"/>
                <w:lang w:eastAsia="zh-CN"/>
              </w:rPr>
              <w:t>设计</w:t>
            </w:r>
            <w:r>
              <w:rPr>
                <w:rFonts w:hint="eastAsia" w:ascii="仿宋" w:hAnsi="仿宋" w:eastAsia="仿宋" w:cs="仿宋"/>
                <w:sz w:val="28"/>
                <w:szCs w:val="28"/>
              </w:rPr>
              <w:t>财务</w:t>
            </w:r>
            <w:r>
              <w:rPr>
                <w:rFonts w:hint="eastAsia" w:ascii="仿宋" w:hAnsi="仿宋" w:eastAsia="仿宋" w:cs="仿宋"/>
                <w:sz w:val="28"/>
                <w:szCs w:val="28"/>
                <w:lang w:eastAsia="zh-CN"/>
              </w:rPr>
              <w:t>设计</w:t>
            </w:r>
            <w:r>
              <w:rPr>
                <w:rFonts w:hint="eastAsia" w:ascii="仿宋" w:hAnsi="仿宋" w:eastAsia="仿宋" w:cs="仿宋"/>
                <w:sz w:val="28"/>
                <w:szCs w:val="28"/>
              </w:rPr>
              <w:t>报告，新成立企业，以各项资质证书取得的时间，按规定提交财务</w:t>
            </w:r>
            <w:r>
              <w:rPr>
                <w:rFonts w:hint="eastAsia" w:ascii="仿宋" w:hAnsi="仿宋" w:eastAsia="仿宋" w:cs="仿宋"/>
                <w:sz w:val="28"/>
                <w:szCs w:val="28"/>
                <w:lang w:eastAsia="zh-CN"/>
              </w:rPr>
              <w:t>设计</w:t>
            </w:r>
            <w:r>
              <w:rPr>
                <w:rFonts w:hint="eastAsia" w:ascii="仿宋" w:hAnsi="仿宋" w:eastAsia="仿宋" w:cs="仿宋"/>
                <w:sz w:val="28"/>
                <w:szCs w:val="28"/>
              </w:rPr>
              <w:t>报告，公司成立不足一年的，提供近期财务报表】</w:t>
            </w:r>
          </w:p>
        </w:tc>
      </w:tr>
      <w:tr w14:paraId="0F4B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697" w:type="dxa"/>
            <w:vAlign w:val="center"/>
          </w:tcPr>
          <w:p w14:paraId="79234045">
            <w:pPr>
              <w:spacing w:line="360" w:lineRule="auto"/>
              <w:jc w:val="center"/>
              <w:rPr>
                <w:rFonts w:hint="eastAsia" w:ascii="仿宋" w:hAnsi="仿宋" w:eastAsia="仿宋" w:cs="仿宋"/>
                <w:bCs/>
                <w:sz w:val="28"/>
                <w:szCs w:val="28"/>
              </w:rPr>
            </w:pPr>
            <w:r>
              <w:rPr>
                <w:rFonts w:hint="eastAsia" w:ascii="仿宋" w:hAnsi="仿宋" w:eastAsia="仿宋" w:cs="仿宋"/>
                <w:bCs/>
                <w:sz w:val="28"/>
                <w:szCs w:val="28"/>
              </w:rPr>
              <w:t>3</w:t>
            </w:r>
          </w:p>
        </w:tc>
        <w:tc>
          <w:tcPr>
            <w:tcW w:w="3731" w:type="dxa"/>
            <w:vAlign w:val="center"/>
          </w:tcPr>
          <w:p w14:paraId="230094D0">
            <w:pPr>
              <w:rPr>
                <w:rFonts w:hint="eastAsia" w:ascii="仿宋" w:hAnsi="仿宋" w:eastAsia="仿宋" w:cs="仿宋"/>
                <w:bCs/>
                <w:sz w:val="28"/>
                <w:szCs w:val="28"/>
              </w:rPr>
            </w:pPr>
            <w:r>
              <w:rPr>
                <w:rFonts w:hint="eastAsia" w:ascii="仿宋" w:hAnsi="仿宋" w:eastAsia="仿宋" w:cs="仿宋"/>
                <w:bCs/>
                <w:sz w:val="28"/>
                <w:szCs w:val="28"/>
              </w:rPr>
              <w:t>具有履行合同所必需的设备和专业技术能力</w:t>
            </w:r>
          </w:p>
        </w:tc>
        <w:tc>
          <w:tcPr>
            <w:tcW w:w="5997" w:type="dxa"/>
            <w:vAlign w:val="center"/>
          </w:tcPr>
          <w:p w14:paraId="33A709EE">
            <w:pPr>
              <w:rPr>
                <w:rFonts w:hint="eastAsia" w:ascii="仿宋" w:hAnsi="仿宋" w:eastAsia="仿宋" w:cs="仿宋"/>
                <w:sz w:val="28"/>
                <w:szCs w:val="28"/>
              </w:rPr>
            </w:pPr>
            <w:r>
              <w:rPr>
                <w:rFonts w:hint="eastAsia" w:ascii="仿宋" w:hAnsi="仿宋" w:eastAsia="仿宋" w:cs="仿宋"/>
                <w:bCs/>
                <w:sz w:val="28"/>
                <w:szCs w:val="28"/>
              </w:rPr>
              <w:t>提供投标人可充分满足履行合同所需设备和专业技术能力的证明材料或承诺</w:t>
            </w:r>
          </w:p>
        </w:tc>
      </w:tr>
      <w:tr w14:paraId="2640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97" w:type="dxa"/>
            <w:vAlign w:val="center"/>
          </w:tcPr>
          <w:p w14:paraId="3C731C90">
            <w:pPr>
              <w:spacing w:line="360" w:lineRule="auto"/>
              <w:jc w:val="center"/>
              <w:rPr>
                <w:rFonts w:hint="eastAsia" w:ascii="仿宋" w:hAnsi="仿宋" w:eastAsia="仿宋" w:cs="仿宋"/>
                <w:bCs/>
                <w:sz w:val="28"/>
                <w:szCs w:val="28"/>
              </w:rPr>
            </w:pPr>
            <w:r>
              <w:rPr>
                <w:rFonts w:hint="eastAsia" w:ascii="仿宋" w:hAnsi="仿宋" w:eastAsia="仿宋" w:cs="仿宋"/>
                <w:bCs/>
                <w:sz w:val="28"/>
                <w:szCs w:val="28"/>
              </w:rPr>
              <w:t>4</w:t>
            </w:r>
          </w:p>
        </w:tc>
        <w:tc>
          <w:tcPr>
            <w:tcW w:w="3731" w:type="dxa"/>
            <w:vAlign w:val="center"/>
          </w:tcPr>
          <w:p w14:paraId="08FB18BE">
            <w:pPr>
              <w:rPr>
                <w:rFonts w:hint="eastAsia" w:ascii="仿宋" w:hAnsi="仿宋" w:eastAsia="仿宋" w:cs="仿宋"/>
                <w:sz w:val="28"/>
                <w:szCs w:val="28"/>
              </w:rPr>
            </w:pPr>
            <w:r>
              <w:rPr>
                <w:rFonts w:hint="eastAsia" w:ascii="仿宋" w:hAnsi="仿宋" w:eastAsia="仿宋" w:cs="仿宋"/>
                <w:bCs/>
                <w:sz w:val="28"/>
                <w:szCs w:val="28"/>
              </w:rPr>
              <w:t>有依法缴纳税收和社会保障资金的良好记录</w:t>
            </w:r>
          </w:p>
        </w:tc>
        <w:tc>
          <w:tcPr>
            <w:tcW w:w="5997" w:type="dxa"/>
            <w:vAlign w:val="center"/>
          </w:tcPr>
          <w:p w14:paraId="5E19FC50">
            <w:pPr>
              <w:rPr>
                <w:rFonts w:hint="eastAsia" w:ascii="仿宋" w:hAnsi="仿宋" w:eastAsia="仿宋" w:cs="仿宋"/>
                <w:sz w:val="28"/>
                <w:szCs w:val="28"/>
              </w:rPr>
            </w:pPr>
            <w:r>
              <w:rPr>
                <w:rFonts w:hint="eastAsia" w:ascii="仿宋" w:hAnsi="仿宋" w:eastAsia="仿宋" w:cs="仿宋"/>
                <w:bCs/>
                <w:sz w:val="28"/>
                <w:szCs w:val="28"/>
              </w:rPr>
              <w:t>提供投标人</w:t>
            </w:r>
            <w:r>
              <w:rPr>
                <w:rFonts w:hint="eastAsia" w:ascii="仿宋" w:hAnsi="仿宋" w:eastAsia="仿宋" w:cs="仿宋"/>
                <w:bCs/>
                <w:sz w:val="28"/>
                <w:szCs w:val="28"/>
                <w:lang w:val="en-US"/>
              </w:rPr>
              <w:t>近一年内任意一个月</w:t>
            </w:r>
            <w:r>
              <w:rPr>
                <w:rFonts w:hint="eastAsia" w:ascii="仿宋" w:hAnsi="仿宋" w:eastAsia="仿宋" w:cs="仿宋"/>
                <w:bCs/>
                <w:sz w:val="28"/>
                <w:szCs w:val="28"/>
              </w:rPr>
              <w:t>依法缴纳税收记录和社会保障资金缴纳记录证明材料</w:t>
            </w:r>
            <w:r>
              <w:rPr>
                <w:rFonts w:hint="eastAsia" w:ascii="仿宋" w:hAnsi="仿宋" w:eastAsia="仿宋" w:cs="仿宋"/>
                <w:bCs/>
                <w:sz w:val="28"/>
                <w:szCs w:val="28"/>
                <w:lang w:val="en-US"/>
              </w:rPr>
              <w:t>或承诺函</w:t>
            </w:r>
            <w:r>
              <w:rPr>
                <w:rFonts w:hint="eastAsia" w:ascii="仿宋" w:hAnsi="仿宋" w:eastAsia="仿宋" w:cs="仿宋"/>
                <w:bCs/>
                <w:sz w:val="28"/>
                <w:szCs w:val="28"/>
              </w:rPr>
              <w:t>，复印件并加盖投标单位公章</w:t>
            </w:r>
          </w:p>
        </w:tc>
      </w:tr>
      <w:tr w14:paraId="160C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697" w:type="dxa"/>
            <w:vAlign w:val="center"/>
          </w:tcPr>
          <w:p w14:paraId="0E7C4377">
            <w:pPr>
              <w:spacing w:line="360" w:lineRule="auto"/>
              <w:jc w:val="center"/>
              <w:rPr>
                <w:rFonts w:hint="eastAsia" w:ascii="仿宋" w:hAnsi="仿宋" w:eastAsia="仿宋" w:cs="仿宋"/>
                <w:sz w:val="28"/>
                <w:szCs w:val="28"/>
              </w:rPr>
            </w:pPr>
            <w:r>
              <w:rPr>
                <w:rFonts w:hint="eastAsia" w:ascii="仿宋" w:hAnsi="仿宋" w:eastAsia="仿宋" w:cs="仿宋"/>
                <w:sz w:val="28"/>
                <w:szCs w:val="28"/>
              </w:rPr>
              <w:t>5</w:t>
            </w:r>
          </w:p>
        </w:tc>
        <w:tc>
          <w:tcPr>
            <w:tcW w:w="3731" w:type="dxa"/>
            <w:vAlign w:val="center"/>
          </w:tcPr>
          <w:p w14:paraId="7FC42889">
            <w:pPr>
              <w:rPr>
                <w:rFonts w:hint="eastAsia" w:ascii="仿宋" w:hAnsi="仿宋" w:eastAsia="仿宋" w:cs="仿宋"/>
                <w:sz w:val="28"/>
                <w:szCs w:val="28"/>
              </w:rPr>
            </w:pPr>
            <w:r>
              <w:rPr>
                <w:rFonts w:hint="eastAsia" w:ascii="仿宋" w:hAnsi="仿宋" w:eastAsia="仿宋" w:cs="仿宋"/>
                <w:bCs/>
                <w:sz w:val="28"/>
                <w:szCs w:val="28"/>
              </w:rPr>
              <w:t>参加政府采购活动前三年内，在经营活动中没有重大违法记录</w:t>
            </w:r>
          </w:p>
        </w:tc>
        <w:tc>
          <w:tcPr>
            <w:tcW w:w="5997" w:type="dxa"/>
            <w:vAlign w:val="center"/>
          </w:tcPr>
          <w:p w14:paraId="4D75A025">
            <w:pPr>
              <w:rPr>
                <w:rFonts w:hint="eastAsia" w:ascii="仿宋" w:hAnsi="仿宋" w:eastAsia="仿宋" w:cs="仿宋"/>
                <w:sz w:val="28"/>
                <w:szCs w:val="28"/>
              </w:rPr>
            </w:pPr>
            <w:r>
              <w:rPr>
                <w:rFonts w:hint="eastAsia" w:ascii="仿宋" w:hAnsi="仿宋" w:eastAsia="仿宋" w:cs="仿宋"/>
                <w:sz w:val="28"/>
                <w:szCs w:val="28"/>
              </w:rPr>
              <w:t>投标人参加政府采购活动前三年内，在经营活动中没有重大违法记录的书面声明材料（</w:t>
            </w:r>
            <w:r>
              <w:rPr>
                <w:rFonts w:hint="eastAsia" w:ascii="仿宋" w:hAnsi="仿宋" w:eastAsia="仿宋" w:cs="仿宋"/>
                <w:sz w:val="28"/>
                <w:szCs w:val="28"/>
                <w:lang w:val="en-US"/>
              </w:rPr>
              <w:t>提供承诺函</w:t>
            </w:r>
            <w:r>
              <w:rPr>
                <w:rFonts w:hint="eastAsia" w:ascii="仿宋" w:hAnsi="仿宋" w:eastAsia="仿宋" w:cs="仿宋"/>
                <w:sz w:val="28"/>
                <w:szCs w:val="28"/>
              </w:rPr>
              <w:t>）</w:t>
            </w:r>
          </w:p>
        </w:tc>
      </w:tr>
      <w:tr w14:paraId="41AE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97" w:type="dxa"/>
            <w:vAlign w:val="center"/>
          </w:tcPr>
          <w:p w14:paraId="036A9B20">
            <w:pPr>
              <w:spacing w:line="360" w:lineRule="auto"/>
              <w:jc w:val="center"/>
              <w:rPr>
                <w:rFonts w:hint="eastAsia" w:ascii="仿宋" w:hAnsi="仿宋" w:eastAsia="仿宋" w:cs="仿宋"/>
                <w:sz w:val="28"/>
                <w:szCs w:val="28"/>
              </w:rPr>
            </w:pPr>
            <w:r>
              <w:rPr>
                <w:rFonts w:hint="eastAsia" w:ascii="仿宋" w:hAnsi="仿宋" w:eastAsia="仿宋" w:cs="仿宋"/>
                <w:sz w:val="28"/>
                <w:szCs w:val="28"/>
                <w:lang w:val="en-US"/>
              </w:rPr>
              <w:t>6</w:t>
            </w:r>
          </w:p>
        </w:tc>
        <w:tc>
          <w:tcPr>
            <w:tcW w:w="3731" w:type="dxa"/>
            <w:vAlign w:val="center"/>
          </w:tcPr>
          <w:p w14:paraId="34880171">
            <w:pPr>
              <w:rPr>
                <w:rFonts w:hint="eastAsia" w:ascii="仿宋" w:hAnsi="仿宋" w:eastAsia="仿宋" w:cs="仿宋"/>
                <w:bCs/>
                <w:sz w:val="28"/>
                <w:szCs w:val="28"/>
              </w:rPr>
            </w:pPr>
            <w:r>
              <w:rPr>
                <w:rFonts w:hint="eastAsia" w:ascii="仿宋" w:hAnsi="仿宋" w:eastAsia="仿宋" w:cs="仿宋"/>
                <w:bCs/>
                <w:sz w:val="28"/>
                <w:szCs w:val="28"/>
              </w:rPr>
              <w:t>未被“信用中国”网站（</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"http://www.creditchina.gov.cn）中列入失信被执行人和/" </w:instrText>
            </w:r>
            <w:r>
              <w:rPr>
                <w:rFonts w:hint="eastAsia" w:ascii="仿宋" w:hAnsi="仿宋" w:eastAsia="仿宋" w:cs="仿宋"/>
                <w:sz w:val="28"/>
                <w:szCs w:val="28"/>
              </w:rPr>
              <w:fldChar w:fldCharType="separate"/>
            </w:r>
            <w:r>
              <w:rPr>
                <w:rFonts w:hint="eastAsia" w:ascii="仿宋" w:hAnsi="仿宋" w:eastAsia="仿宋" w:cs="仿宋"/>
                <w:bCs/>
                <w:sz w:val="28"/>
                <w:szCs w:val="28"/>
              </w:rPr>
              <w:t>www.creditchina.gov.cn）中列入失信被执行人</w:t>
            </w:r>
            <w:r>
              <w:rPr>
                <w:rFonts w:hint="eastAsia" w:ascii="仿宋" w:hAnsi="仿宋" w:eastAsia="仿宋" w:cs="仿宋"/>
                <w:bCs/>
                <w:sz w:val="28"/>
                <w:szCs w:val="28"/>
              </w:rPr>
              <w:fldChar w:fldCharType="end"/>
            </w:r>
            <w:r>
              <w:rPr>
                <w:rFonts w:hint="eastAsia" w:ascii="仿宋" w:hAnsi="仿宋" w:eastAsia="仿宋" w:cs="仿宋"/>
                <w:bCs/>
                <w:sz w:val="28"/>
                <w:szCs w:val="28"/>
              </w:rPr>
              <w:t>或重大税收违法案件当事人名单的供应商、未被中国采购与招标网（www.ccgp.gov.cn）列入政府采购严重违法失信行为记录名单</w:t>
            </w:r>
          </w:p>
        </w:tc>
        <w:tc>
          <w:tcPr>
            <w:tcW w:w="5997" w:type="dxa"/>
            <w:vAlign w:val="center"/>
          </w:tcPr>
          <w:p w14:paraId="741B4386">
            <w:pPr>
              <w:rPr>
                <w:rFonts w:hint="eastAsia" w:ascii="仿宋" w:hAnsi="仿宋" w:eastAsia="仿宋" w:cs="仿宋"/>
                <w:bCs/>
                <w:sz w:val="28"/>
                <w:szCs w:val="28"/>
              </w:rPr>
            </w:pPr>
            <w:r>
              <w:rPr>
                <w:rFonts w:hint="eastAsia" w:ascii="仿宋" w:hAnsi="仿宋" w:eastAsia="仿宋" w:cs="仿宋"/>
                <w:bCs/>
                <w:sz w:val="28"/>
                <w:szCs w:val="28"/>
              </w:rPr>
              <w:t>投标人在信用中国网站、中国采购与招标网查询</w:t>
            </w:r>
            <w:r>
              <w:rPr>
                <w:rFonts w:hint="eastAsia" w:ascii="仿宋" w:hAnsi="仿宋" w:eastAsia="仿宋" w:cs="仿宋"/>
                <w:bCs/>
                <w:sz w:val="28"/>
                <w:szCs w:val="28"/>
                <w:lang w:val="en-US"/>
              </w:rPr>
              <w:t>无不良</w:t>
            </w:r>
            <w:r>
              <w:rPr>
                <w:rFonts w:hint="eastAsia" w:ascii="仿宋" w:hAnsi="仿宋" w:eastAsia="仿宋" w:cs="仿宋"/>
                <w:bCs/>
                <w:sz w:val="28"/>
                <w:szCs w:val="28"/>
              </w:rPr>
              <w:t>信用记录</w:t>
            </w:r>
          </w:p>
        </w:tc>
      </w:tr>
    </w:tbl>
    <w:p w14:paraId="2E1606DE">
      <w:pPr>
        <w:rPr>
          <w:rFonts w:hint="eastAsia" w:ascii="方正仿宋_GBK" w:hAnsi="方正仿宋_GBK" w:eastAsia="方正仿宋_GBK" w:cs="方正仿宋_GBK"/>
          <w:b/>
          <w:bCs/>
          <w:sz w:val="28"/>
          <w:szCs w:val="28"/>
        </w:rPr>
      </w:pPr>
      <w:bookmarkStart w:id="3" w:name="_GoBack"/>
      <w:bookmarkEnd w:id="3"/>
      <w:r>
        <w:rPr>
          <w:rFonts w:hint="eastAsia" w:ascii="仿宋" w:hAnsi="仿宋" w:eastAsia="仿宋" w:cs="仿宋"/>
          <w:sz w:val="25"/>
        </w:rPr>
        <w:br w:type="page"/>
      </w:r>
      <w:r>
        <w:rPr>
          <w:rFonts w:hint="eastAsia" w:ascii="方正仿宋_GBK" w:hAnsi="方正仿宋_GBK" w:eastAsia="方正仿宋_GBK" w:cs="方正仿宋_GBK"/>
          <w:b/>
          <w:bCs/>
          <w:sz w:val="28"/>
          <w:szCs w:val="28"/>
        </w:rPr>
        <w:t>符合性审查标准见下表：</w:t>
      </w:r>
    </w:p>
    <w:tbl>
      <w:tblPr>
        <w:tblStyle w:val="11"/>
        <w:tblW w:w="10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3984"/>
        <w:gridCol w:w="4776"/>
        <w:gridCol w:w="1013"/>
      </w:tblGrid>
      <w:tr w14:paraId="12F58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2F12313F">
            <w:pPr>
              <w:widowControl/>
              <w:snapToGrid w:val="0"/>
              <w:ind w:left="0" w:leftChars="0" w:right="0" w:rightChars="0" w:firstLine="0" w:firstLineChars="0"/>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序号</w:t>
            </w:r>
          </w:p>
        </w:tc>
        <w:tc>
          <w:tcPr>
            <w:tcW w:w="3984" w:type="dxa"/>
            <w:vAlign w:val="center"/>
          </w:tcPr>
          <w:p w14:paraId="27BC45D3">
            <w:pPr>
              <w:snapToGrid w:val="0"/>
              <w:ind w:left="0" w:leftChars="0" w:right="0" w:rightChars="0" w:firstLine="0" w:firstLineChars="0"/>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符合性审查项</w:t>
            </w:r>
          </w:p>
        </w:tc>
        <w:tc>
          <w:tcPr>
            <w:tcW w:w="4776" w:type="dxa"/>
            <w:vAlign w:val="center"/>
          </w:tcPr>
          <w:p w14:paraId="0F518D2A">
            <w:pPr>
              <w:widowControl/>
              <w:snapToGrid w:val="0"/>
              <w:ind w:left="0" w:leftChars="0" w:right="0" w:rightChars="0" w:firstLine="0" w:firstLineChars="0"/>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通过条件</w:t>
            </w:r>
          </w:p>
        </w:tc>
        <w:tc>
          <w:tcPr>
            <w:tcW w:w="1013" w:type="dxa"/>
            <w:vAlign w:val="center"/>
          </w:tcPr>
          <w:p w14:paraId="0A4F9702">
            <w:pPr>
              <w:widowControl/>
              <w:snapToGrid w:val="0"/>
              <w:ind w:left="0" w:leftChars="0" w:right="0" w:rightChars="0" w:firstLine="0" w:firstLineChars="0"/>
              <w:jc w:val="center"/>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b/>
                <w:bCs/>
                <w:sz w:val="28"/>
                <w:szCs w:val="28"/>
              </w:rPr>
              <w:t>结论</w:t>
            </w:r>
          </w:p>
        </w:tc>
      </w:tr>
      <w:tr w14:paraId="6F3F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93136A7">
            <w:pPr>
              <w:snapToGrid w:val="0"/>
              <w:ind w:left="0" w:leftChars="0" w:right="0" w:rightChars="0" w:firstLine="0" w:firstLineChars="0"/>
              <w:jc w:val="center"/>
              <w:rPr>
                <w:rFonts w:hint="eastAsia" w:ascii="仿宋" w:hAnsi="仿宋" w:eastAsia="仿宋" w:cs="仿宋"/>
                <w:b/>
                <w:bCs/>
                <w:sz w:val="28"/>
                <w:szCs w:val="28"/>
              </w:rPr>
            </w:pPr>
            <w:r>
              <w:rPr>
                <w:rFonts w:hint="eastAsia" w:ascii="仿宋" w:hAnsi="仿宋" w:eastAsia="仿宋" w:cs="仿宋"/>
                <w:sz w:val="28"/>
                <w:szCs w:val="28"/>
              </w:rPr>
              <w:t>1</w:t>
            </w:r>
          </w:p>
        </w:tc>
        <w:tc>
          <w:tcPr>
            <w:tcW w:w="3984" w:type="dxa"/>
            <w:vAlign w:val="center"/>
          </w:tcPr>
          <w:p w14:paraId="0AA979F2">
            <w:pPr>
              <w:snapToGrid w:val="0"/>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sz w:val="28"/>
                <w:szCs w:val="28"/>
                <w:lang w:val="en-US"/>
              </w:rPr>
              <w:t>供应商</w:t>
            </w:r>
            <w:r>
              <w:rPr>
                <w:rFonts w:hint="eastAsia" w:ascii="仿宋" w:hAnsi="仿宋" w:eastAsia="仿宋" w:cs="仿宋"/>
                <w:sz w:val="28"/>
                <w:szCs w:val="28"/>
              </w:rPr>
              <w:t>名称</w:t>
            </w:r>
          </w:p>
        </w:tc>
        <w:tc>
          <w:tcPr>
            <w:tcW w:w="4776" w:type="dxa"/>
            <w:vAlign w:val="center"/>
          </w:tcPr>
          <w:p w14:paraId="25F71DE9">
            <w:pPr>
              <w:widowControl/>
              <w:snapToGrid w:val="0"/>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sz w:val="28"/>
                <w:szCs w:val="28"/>
              </w:rPr>
              <w:t>与营业执照或法人证书一致</w:t>
            </w:r>
          </w:p>
        </w:tc>
        <w:tc>
          <w:tcPr>
            <w:tcW w:w="1013" w:type="dxa"/>
            <w:vAlign w:val="center"/>
          </w:tcPr>
          <w:p w14:paraId="4491EE5C">
            <w:pPr>
              <w:widowControl/>
              <w:snapToGrid w:val="0"/>
              <w:ind w:left="0" w:leftChars="0" w:right="0" w:rightChars="0" w:firstLine="0" w:firstLineChars="0"/>
              <w:jc w:val="center"/>
              <w:rPr>
                <w:rFonts w:hint="eastAsia" w:ascii="方正仿宋_GBK" w:hAnsi="方正仿宋_GBK" w:eastAsia="方正仿宋_GBK" w:cs="方正仿宋_GBK"/>
                <w:b/>
                <w:bCs/>
                <w:sz w:val="28"/>
                <w:szCs w:val="28"/>
              </w:rPr>
            </w:pPr>
          </w:p>
        </w:tc>
      </w:tr>
      <w:tr w14:paraId="15AA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796AC00">
            <w:pPr>
              <w:snapToGrid w:val="0"/>
              <w:ind w:left="0" w:leftChars="0" w:right="0" w:rightChars="0" w:firstLine="0" w:firstLineChars="0"/>
              <w:jc w:val="center"/>
              <w:rPr>
                <w:rFonts w:hint="eastAsia" w:ascii="仿宋" w:hAnsi="仿宋" w:eastAsia="仿宋" w:cs="仿宋"/>
                <w:sz w:val="28"/>
                <w:szCs w:val="28"/>
              </w:rPr>
            </w:pPr>
            <w:r>
              <w:rPr>
                <w:rFonts w:hint="eastAsia" w:ascii="仿宋" w:hAnsi="仿宋" w:eastAsia="仿宋" w:cs="仿宋"/>
                <w:sz w:val="28"/>
                <w:szCs w:val="28"/>
                <w:lang w:val="en-US"/>
              </w:rPr>
              <w:t>2</w:t>
            </w:r>
          </w:p>
        </w:tc>
        <w:tc>
          <w:tcPr>
            <w:tcW w:w="3984" w:type="dxa"/>
            <w:vAlign w:val="center"/>
          </w:tcPr>
          <w:p w14:paraId="20B50EC7">
            <w:pPr>
              <w:pStyle w:val="15"/>
              <w:snapToGrid w:val="0"/>
              <w:ind w:left="0" w:leftChars="0" w:right="0" w:rightChars="0" w:firstLine="0" w:firstLineChars="0"/>
              <w:jc w:val="left"/>
              <w:rPr>
                <w:rFonts w:hint="eastAsia" w:ascii="仿宋" w:hAnsi="仿宋" w:eastAsia="仿宋" w:cs="仿宋"/>
                <w:bCs/>
                <w:sz w:val="28"/>
                <w:szCs w:val="28"/>
                <w:lang w:val="en-US"/>
              </w:rPr>
            </w:pPr>
            <w:r>
              <w:rPr>
                <w:rFonts w:hint="eastAsia" w:ascii="仿宋" w:hAnsi="仿宋" w:eastAsia="仿宋" w:cs="仿宋"/>
                <w:bCs/>
                <w:sz w:val="28"/>
                <w:szCs w:val="28"/>
                <w:lang w:val="en-US"/>
              </w:rPr>
              <w:t>合同履行期限</w:t>
            </w:r>
          </w:p>
        </w:tc>
        <w:tc>
          <w:tcPr>
            <w:tcW w:w="4776" w:type="dxa"/>
            <w:vAlign w:val="center"/>
          </w:tcPr>
          <w:p w14:paraId="69897821">
            <w:pPr>
              <w:pStyle w:val="15"/>
              <w:snapToGrid w:val="0"/>
              <w:ind w:left="0" w:leftChars="0" w:right="0" w:rightChars="0" w:firstLine="0" w:firstLineChars="0"/>
              <w:jc w:val="left"/>
              <w:rPr>
                <w:rFonts w:hint="eastAsia" w:ascii="仿宋" w:hAnsi="仿宋" w:eastAsia="仿宋" w:cs="仿宋"/>
                <w:bCs/>
                <w:sz w:val="28"/>
                <w:szCs w:val="28"/>
                <w:lang w:val="en-US"/>
              </w:rPr>
            </w:pPr>
            <w:r>
              <w:rPr>
                <w:rFonts w:hint="eastAsia" w:ascii="仿宋" w:hAnsi="仿宋" w:eastAsia="仿宋" w:cs="仿宋"/>
                <w:bCs/>
                <w:sz w:val="28"/>
                <w:szCs w:val="28"/>
                <w:lang w:val="en-US"/>
              </w:rPr>
              <w:t>是否符合</w:t>
            </w:r>
            <w:r>
              <w:rPr>
                <w:rFonts w:hint="eastAsia" w:ascii="仿宋" w:hAnsi="仿宋" w:eastAsia="仿宋" w:cs="仿宋"/>
                <w:bCs/>
                <w:sz w:val="28"/>
                <w:szCs w:val="28"/>
                <w:lang w:val="en-US" w:eastAsia="zh-CN"/>
              </w:rPr>
              <w:t>招标</w:t>
            </w:r>
            <w:r>
              <w:rPr>
                <w:rFonts w:hint="eastAsia" w:ascii="仿宋" w:hAnsi="仿宋" w:eastAsia="仿宋" w:cs="仿宋"/>
                <w:bCs/>
                <w:sz w:val="28"/>
                <w:szCs w:val="28"/>
                <w:lang w:val="en-US"/>
              </w:rPr>
              <w:t>文件要求</w:t>
            </w:r>
          </w:p>
        </w:tc>
        <w:tc>
          <w:tcPr>
            <w:tcW w:w="1013" w:type="dxa"/>
            <w:vAlign w:val="center"/>
          </w:tcPr>
          <w:p w14:paraId="224B04EB">
            <w:pPr>
              <w:widowControl/>
              <w:snapToGrid w:val="0"/>
              <w:ind w:left="0" w:leftChars="0" w:right="0" w:rightChars="0" w:firstLine="0" w:firstLineChars="0"/>
              <w:jc w:val="center"/>
              <w:rPr>
                <w:rFonts w:hint="eastAsia" w:ascii="方正仿宋_GBK" w:hAnsi="方正仿宋_GBK" w:eastAsia="方正仿宋_GBK" w:cs="方正仿宋_GBK"/>
                <w:b/>
                <w:bCs/>
                <w:sz w:val="28"/>
                <w:szCs w:val="28"/>
                <w:lang w:val="en-US"/>
              </w:rPr>
            </w:pPr>
          </w:p>
        </w:tc>
      </w:tr>
      <w:tr w14:paraId="584B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A6DDC55">
            <w:pPr>
              <w:snapToGrid w:val="0"/>
              <w:ind w:left="0" w:leftChars="0" w:right="0" w:rightChars="0" w:firstLine="0" w:firstLineChars="0"/>
              <w:jc w:val="center"/>
              <w:rPr>
                <w:rFonts w:hint="eastAsia" w:ascii="仿宋" w:hAnsi="仿宋" w:eastAsia="仿宋" w:cs="仿宋"/>
                <w:sz w:val="28"/>
                <w:szCs w:val="28"/>
              </w:rPr>
            </w:pPr>
            <w:r>
              <w:rPr>
                <w:rFonts w:hint="eastAsia" w:ascii="仿宋" w:hAnsi="仿宋" w:eastAsia="仿宋" w:cs="仿宋"/>
                <w:sz w:val="28"/>
                <w:szCs w:val="28"/>
                <w:lang w:val="en-US"/>
              </w:rPr>
              <w:t>3</w:t>
            </w:r>
          </w:p>
        </w:tc>
        <w:tc>
          <w:tcPr>
            <w:tcW w:w="3984" w:type="dxa"/>
            <w:vAlign w:val="center"/>
          </w:tcPr>
          <w:p w14:paraId="4A0EB200">
            <w:pPr>
              <w:pStyle w:val="15"/>
              <w:snapToGrid w:val="0"/>
              <w:ind w:left="0" w:leftChars="0" w:right="0" w:rightChars="0" w:firstLine="0" w:firstLineChars="0"/>
              <w:jc w:val="left"/>
              <w:rPr>
                <w:rFonts w:hint="eastAsia" w:ascii="仿宋" w:hAnsi="仿宋" w:eastAsia="仿宋" w:cs="仿宋"/>
                <w:bCs/>
                <w:sz w:val="28"/>
                <w:szCs w:val="28"/>
              </w:rPr>
            </w:pPr>
            <w:r>
              <w:rPr>
                <w:rFonts w:hint="eastAsia" w:ascii="仿宋" w:hAnsi="仿宋" w:eastAsia="仿宋" w:cs="仿宋"/>
                <w:bCs/>
                <w:sz w:val="28"/>
                <w:szCs w:val="28"/>
                <w:lang w:val="en-US" w:eastAsia="zh-CN"/>
              </w:rPr>
              <w:t>招标</w:t>
            </w:r>
            <w:r>
              <w:rPr>
                <w:rFonts w:hint="eastAsia" w:ascii="仿宋" w:hAnsi="仿宋" w:eastAsia="仿宋" w:cs="仿宋"/>
                <w:bCs/>
                <w:sz w:val="28"/>
                <w:szCs w:val="28"/>
              </w:rPr>
              <w:t>有效期</w:t>
            </w:r>
          </w:p>
        </w:tc>
        <w:tc>
          <w:tcPr>
            <w:tcW w:w="4776" w:type="dxa"/>
            <w:vAlign w:val="center"/>
          </w:tcPr>
          <w:p w14:paraId="408D27E5">
            <w:pPr>
              <w:pStyle w:val="15"/>
              <w:snapToGrid w:val="0"/>
              <w:ind w:left="0" w:leftChars="0" w:right="0" w:rightChars="0" w:firstLine="0" w:firstLineChars="0"/>
              <w:jc w:val="left"/>
              <w:rPr>
                <w:rFonts w:hint="eastAsia" w:ascii="仿宋" w:hAnsi="仿宋" w:eastAsia="仿宋" w:cs="仿宋"/>
                <w:bCs/>
                <w:sz w:val="28"/>
                <w:szCs w:val="28"/>
              </w:rPr>
            </w:pPr>
            <w:r>
              <w:rPr>
                <w:rFonts w:hint="eastAsia" w:ascii="仿宋" w:hAnsi="仿宋" w:eastAsia="仿宋" w:cs="仿宋"/>
                <w:bCs/>
                <w:sz w:val="28"/>
                <w:szCs w:val="28"/>
                <w:lang w:val="en-US"/>
              </w:rPr>
              <w:t>60日历天</w:t>
            </w:r>
          </w:p>
        </w:tc>
        <w:tc>
          <w:tcPr>
            <w:tcW w:w="1013" w:type="dxa"/>
            <w:vAlign w:val="center"/>
          </w:tcPr>
          <w:p w14:paraId="3B5007C9">
            <w:pPr>
              <w:widowControl/>
              <w:snapToGrid w:val="0"/>
              <w:ind w:left="0" w:leftChars="0" w:right="0" w:rightChars="0" w:firstLine="0" w:firstLineChars="0"/>
              <w:jc w:val="center"/>
              <w:rPr>
                <w:rFonts w:hint="eastAsia" w:ascii="方正仿宋_GBK" w:hAnsi="方正仿宋_GBK" w:eastAsia="方正仿宋_GBK" w:cs="方正仿宋_GBK"/>
                <w:b/>
                <w:bCs/>
                <w:sz w:val="28"/>
                <w:szCs w:val="28"/>
              </w:rPr>
            </w:pPr>
          </w:p>
        </w:tc>
      </w:tr>
      <w:tr w14:paraId="3FD3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AB5533D">
            <w:pPr>
              <w:snapToGrid w:val="0"/>
              <w:ind w:left="0" w:leftChars="0" w:right="0" w:rightChars="0" w:firstLine="0" w:firstLineChars="0"/>
              <w:jc w:val="center"/>
              <w:rPr>
                <w:rFonts w:hint="eastAsia" w:ascii="仿宋" w:hAnsi="仿宋" w:eastAsia="仿宋" w:cs="仿宋"/>
                <w:sz w:val="28"/>
                <w:szCs w:val="28"/>
              </w:rPr>
            </w:pPr>
            <w:r>
              <w:rPr>
                <w:rFonts w:hint="eastAsia" w:ascii="仿宋" w:hAnsi="仿宋" w:eastAsia="仿宋" w:cs="仿宋"/>
                <w:sz w:val="28"/>
                <w:szCs w:val="28"/>
                <w:lang w:val="en-US"/>
              </w:rPr>
              <w:t>4</w:t>
            </w:r>
          </w:p>
        </w:tc>
        <w:tc>
          <w:tcPr>
            <w:tcW w:w="3984" w:type="dxa"/>
            <w:vAlign w:val="center"/>
          </w:tcPr>
          <w:p w14:paraId="0C7D029A">
            <w:pPr>
              <w:snapToGrid w:val="0"/>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sz w:val="28"/>
                <w:szCs w:val="28"/>
                <w:lang w:val="en-US"/>
              </w:rPr>
              <w:t>响应</w:t>
            </w:r>
            <w:r>
              <w:rPr>
                <w:rFonts w:hint="eastAsia" w:ascii="仿宋" w:hAnsi="仿宋" w:eastAsia="仿宋" w:cs="仿宋"/>
                <w:sz w:val="28"/>
                <w:szCs w:val="28"/>
              </w:rPr>
              <w:t>文件印制、签署</w:t>
            </w:r>
          </w:p>
        </w:tc>
        <w:tc>
          <w:tcPr>
            <w:tcW w:w="4776" w:type="dxa"/>
            <w:vAlign w:val="center"/>
          </w:tcPr>
          <w:p w14:paraId="55D8B760">
            <w:pPr>
              <w:snapToGrid w:val="0"/>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sz w:val="28"/>
                <w:szCs w:val="28"/>
              </w:rPr>
              <w:t>符合</w:t>
            </w:r>
            <w:r>
              <w:rPr>
                <w:rFonts w:hint="eastAsia" w:ascii="仿宋" w:hAnsi="仿宋" w:eastAsia="仿宋" w:cs="仿宋"/>
                <w:sz w:val="28"/>
                <w:szCs w:val="28"/>
                <w:lang w:val="en-US" w:eastAsia="zh-CN"/>
              </w:rPr>
              <w:t>招标</w:t>
            </w:r>
            <w:r>
              <w:rPr>
                <w:rFonts w:hint="eastAsia" w:ascii="仿宋" w:hAnsi="仿宋" w:eastAsia="仿宋" w:cs="仿宋"/>
                <w:sz w:val="28"/>
                <w:szCs w:val="28"/>
                <w:lang w:val="en-US"/>
              </w:rPr>
              <w:t>文件</w:t>
            </w:r>
            <w:r>
              <w:rPr>
                <w:rFonts w:hint="eastAsia" w:ascii="仿宋" w:hAnsi="仿宋" w:eastAsia="仿宋" w:cs="仿宋"/>
                <w:sz w:val="28"/>
                <w:szCs w:val="28"/>
              </w:rPr>
              <w:t>的要求。</w:t>
            </w:r>
          </w:p>
        </w:tc>
        <w:tc>
          <w:tcPr>
            <w:tcW w:w="1013" w:type="dxa"/>
            <w:vAlign w:val="center"/>
          </w:tcPr>
          <w:p w14:paraId="6E53B310">
            <w:pPr>
              <w:widowControl/>
              <w:snapToGrid w:val="0"/>
              <w:ind w:left="0" w:leftChars="0" w:right="0" w:rightChars="0" w:firstLine="0" w:firstLineChars="0"/>
              <w:jc w:val="center"/>
              <w:rPr>
                <w:rFonts w:hint="eastAsia" w:ascii="方正仿宋_GBK" w:hAnsi="方正仿宋_GBK" w:eastAsia="方正仿宋_GBK" w:cs="方正仿宋_GBK"/>
                <w:b/>
                <w:bCs/>
                <w:sz w:val="28"/>
                <w:szCs w:val="28"/>
              </w:rPr>
            </w:pPr>
          </w:p>
        </w:tc>
      </w:tr>
      <w:tr w14:paraId="09B98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72" w:type="dxa"/>
            <w:vAlign w:val="center"/>
          </w:tcPr>
          <w:p w14:paraId="0E653253">
            <w:pPr>
              <w:snapToGrid w:val="0"/>
              <w:ind w:left="0" w:leftChars="0" w:right="0" w:rightChars="0" w:firstLine="0" w:firstLineChars="0"/>
              <w:jc w:val="center"/>
              <w:rPr>
                <w:rFonts w:hint="eastAsia" w:ascii="仿宋" w:hAnsi="仿宋" w:eastAsia="仿宋" w:cs="仿宋"/>
                <w:sz w:val="28"/>
                <w:szCs w:val="28"/>
                <w:lang w:val="en-US"/>
              </w:rPr>
            </w:pPr>
            <w:r>
              <w:rPr>
                <w:rFonts w:hint="eastAsia" w:ascii="仿宋" w:hAnsi="仿宋" w:eastAsia="仿宋" w:cs="仿宋"/>
                <w:sz w:val="28"/>
                <w:szCs w:val="28"/>
                <w:lang w:val="en-US"/>
              </w:rPr>
              <w:t>5</w:t>
            </w:r>
          </w:p>
        </w:tc>
        <w:tc>
          <w:tcPr>
            <w:tcW w:w="3984" w:type="dxa"/>
            <w:vAlign w:val="center"/>
          </w:tcPr>
          <w:p w14:paraId="054B699D">
            <w:pPr>
              <w:snapToGrid w:val="0"/>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sz w:val="28"/>
                <w:szCs w:val="28"/>
                <w:lang w:val="en-US" w:eastAsia="zh-CN"/>
              </w:rPr>
              <w:t>招标</w:t>
            </w:r>
            <w:r>
              <w:rPr>
                <w:rFonts w:hint="eastAsia" w:ascii="仿宋" w:hAnsi="仿宋" w:eastAsia="仿宋" w:cs="仿宋"/>
                <w:sz w:val="28"/>
                <w:szCs w:val="28"/>
                <w:lang w:val="en-US"/>
              </w:rPr>
              <w:t>文件</w:t>
            </w:r>
            <w:r>
              <w:rPr>
                <w:rFonts w:hint="eastAsia" w:ascii="仿宋" w:hAnsi="仿宋" w:eastAsia="仿宋" w:cs="仿宋"/>
                <w:sz w:val="28"/>
                <w:szCs w:val="28"/>
              </w:rPr>
              <w:t>规定的其他实质性要求</w:t>
            </w:r>
          </w:p>
        </w:tc>
        <w:tc>
          <w:tcPr>
            <w:tcW w:w="4776" w:type="dxa"/>
            <w:vAlign w:val="center"/>
          </w:tcPr>
          <w:p w14:paraId="63235EC4">
            <w:pPr>
              <w:pStyle w:val="16"/>
              <w:tabs>
                <w:tab w:val="left" w:pos="743"/>
              </w:tabs>
              <w:snapToGrid w:val="0"/>
              <w:ind w:left="0" w:leftChars="0" w:right="0" w:rightChars="0" w:firstLine="0" w:firstLineChars="0"/>
              <w:jc w:val="left"/>
              <w:rPr>
                <w:rFonts w:hint="eastAsia" w:ascii="仿宋" w:hAnsi="仿宋" w:eastAsia="仿宋" w:cs="仿宋"/>
                <w:sz w:val="28"/>
                <w:szCs w:val="28"/>
              </w:rPr>
            </w:pPr>
            <w:r>
              <w:rPr>
                <w:rFonts w:hint="eastAsia" w:ascii="仿宋" w:hAnsi="仿宋" w:eastAsia="仿宋" w:cs="仿宋"/>
                <w:sz w:val="28"/>
                <w:szCs w:val="28"/>
              </w:rPr>
              <w:t>符合</w:t>
            </w:r>
            <w:r>
              <w:rPr>
                <w:rFonts w:hint="eastAsia" w:ascii="仿宋" w:hAnsi="仿宋" w:eastAsia="仿宋" w:cs="仿宋"/>
                <w:sz w:val="28"/>
                <w:szCs w:val="28"/>
                <w:lang w:val="en-US" w:eastAsia="zh-CN"/>
              </w:rPr>
              <w:t>招标</w:t>
            </w:r>
            <w:r>
              <w:rPr>
                <w:rFonts w:hint="eastAsia" w:ascii="仿宋" w:hAnsi="仿宋" w:eastAsia="仿宋" w:cs="仿宋"/>
                <w:sz w:val="28"/>
                <w:szCs w:val="28"/>
                <w:lang w:val="en-US"/>
              </w:rPr>
              <w:t>文件</w:t>
            </w:r>
            <w:r>
              <w:rPr>
                <w:rFonts w:hint="eastAsia" w:ascii="仿宋" w:hAnsi="仿宋" w:eastAsia="仿宋" w:cs="仿宋"/>
                <w:sz w:val="28"/>
                <w:szCs w:val="28"/>
              </w:rPr>
              <w:t>规定的其他实质性要求。</w:t>
            </w:r>
          </w:p>
        </w:tc>
        <w:tc>
          <w:tcPr>
            <w:tcW w:w="1013" w:type="dxa"/>
            <w:vAlign w:val="center"/>
          </w:tcPr>
          <w:p w14:paraId="5227BF80">
            <w:pPr>
              <w:widowControl/>
              <w:snapToGrid w:val="0"/>
              <w:ind w:left="0" w:leftChars="0" w:right="0" w:rightChars="0" w:firstLine="0" w:firstLineChars="0"/>
              <w:jc w:val="center"/>
              <w:rPr>
                <w:rFonts w:hint="eastAsia" w:ascii="方正仿宋_GBK" w:hAnsi="方正仿宋_GBK" w:eastAsia="方正仿宋_GBK" w:cs="方正仿宋_GBK"/>
                <w:b/>
                <w:bCs/>
                <w:sz w:val="28"/>
                <w:szCs w:val="28"/>
              </w:rPr>
            </w:pPr>
          </w:p>
        </w:tc>
      </w:tr>
    </w:tbl>
    <w:p w14:paraId="40986768">
      <w:pPr>
        <w:rPr>
          <w:rFonts w:hint="eastAsia" w:ascii="方正仿宋_GBK" w:hAnsi="方正仿宋_GBK" w:eastAsia="方正仿宋_GBK" w:cs="方正仿宋_GBK"/>
        </w:rPr>
      </w:pPr>
    </w:p>
    <w:p w14:paraId="3F121B9E">
      <w:pPr>
        <w:pStyle w:val="10"/>
        <w:ind w:firstLine="240"/>
        <w:rPr>
          <w:rFonts w:hint="eastAsia" w:ascii="方正仿宋_GBK" w:hAnsi="方正仿宋_GBK" w:eastAsia="方正仿宋_GBK" w:cs="方正仿宋_GBK"/>
        </w:rPr>
      </w:pPr>
      <w:r>
        <w:rPr>
          <w:rFonts w:hint="eastAsia" w:ascii="方正仿宋_GBK" w:hAnsi="方正仿宋_GBK" w:eastAsia="方正仿宋_GBK" w:cs="方正仿宋_GBK"/>
        </w:rPr>
        <w:br w:type="page"/>
      </w:r>
    </w:p>
    <w:p w14:paraId="32CCE3DB">
      <w:pPr>
        <w:pStyle w:val="14"/>
        <w:numPr>
          <w:ilvl w:val="1"/>
          <w:numId w:val="0"/>
        </w:numPr>
        <w:jc w:val="center"/>
        <w:rPr>
          <w:rFonts w:hint="eastAsia" w:ascii="方正仿宋_GBK" w:hAnsi="方正仿宋_GBK" w:eastAsia="方正仿宋_GBK" w:cs="方正仿宋_GBK"/>
          <w:b/>
          <w:bCs/>
          <w:sz w:val="28"/>
          <w:szCs w:val="28"/>
          <w:highlight w:val="none"/>
        </w:rPr>
      </w:pPr>
      <w:r>
        <w:rPr>
          <w:rFonts w:hint="eastAsia" w:ascii="方正仿宋_GBK" w:hAnsi="方正仿宋_GBK" w:eastAsia="方正仿宋_GBK" w:cs="方正仿宋_GBK"/>
          <w:b/>
          <w:bCs/>
          <w:sz w:val="28"/>
          <w:szCs w:val="28"/>
          <w:highlight w:val="none"/>
        </w:rPr>
        <w:t>综合评分明细表</w:t>
      </w:r>
    </w:p>
    <w:tbl>
      <w:tblPr>
        <w:tblStyle w:val="11"/>
        <w:tblW w:w="0" w:type="auto"/>
        <w:tblInd w:w="0" w:type="dxa"/>
        <w:tblLayout w:type="fixed"/>
        <w:tblCellMar>
          <w:top w:w="0" w:type="dxa"/>
          <w:left w:w="108" w:type="dxa"/>
          <w:bottom w:w="0" w:type="dxa"/>
          <w:right w:w="108" w:type="dxa"/>
        </w:tblCellMar>
      </w:tblPr>
      <w:tblGrid>
        <w:gridCol w:w="1376"/>
        <w:gridCol w:w="1002"/>
        <w:gridCol w:w="674"/>
        <w:gridCol w:w="7247"/>
      </w:tblGrid>
      <w:tr w14:paraId="4EEEA6FC">
        <w:tblPrEx>
          <w:tblCellMar>
            <w:top w:w="0" w:type="dxa"/>
            <w:left w:w="108" w:type="dxa"/>
            <w:bottom w:w="0" w:type="dxa"/>
            <w:right w:w="108" w:type="dxa"/>
          </w:tblCellMar>
        </w:tblPrEx>
        <w:trPr>
          <w:trHeight w:val="616" w:hRule="atLeast"/>
        </w:trPr>
        <w:tc>
          <w:tcPr>
            <w:tcW w:w="3052" w:type="dxa"/>
            <w:gridSpan w:val="3"/>
            <w:tcBorders>
              <w:top w:val="single" w:color="auto" w:sz="4" w:space="0"/>
              <w:left w:val="single" w:color="auto" w:sz="4" w:space="0"/>
              <w:bottom w:val="single" w:color="auto" w:sz="4" w:space="0"/>
              <w:right w:val="single" w:color="auto" w:sz="4" w:space="0"/>
            </w:tcBorders>
            <w:vAlign w:val="center"/>
          </w:tcPr>
          <w:p w14:paraId="54E365D4">
            <w:pPr>
              <w:widowControl/>
              <w:jc w:val="center"/>
              <w:rPr>
                <w:rFonts w:hint="eastAsia" w:ascii="方正仿宋_GBK" w:hAnsi="方正仿宋_GBK" w:eastAsia="方正仿宋_GBK" w:cs="方正仿宋_GBK"/>
                <w:b/>
                <w:bCs/>
                <w:sz w:val="28"/>
                <w:szCs w:val="28"/>
                <w:highlight w:val="none"/>
              </w:rPr>
            </w:pPr>
            <w:r>
              <w:rPr>
                <w:rFonts w:hint="eastAsia" w:ascii="方正仿宋_GBK" w:hAnsi="方正仿宋_GBK" w:eastAsia="方正仿宋_GBK" w:cs="方正仿宋_GBK"/>
                <w:b/>
                <w:bCs/>
                <w:sz w:val="28"/>
                <w:szCs w:val="28"/>
                <w:highlight w:val="none"/>
              </w:rPr>
              <w:t>条款内容</w:t>
            </w:r>
          </w:p>
        </w:tc>
        <w:tc>
          <w:tcPr>
            <w:tcW w:w="7247" w:type="dxa"/>
            <w:tcBorders>
              <w:top w:val="single" w:color="auto" w:sz="4" w:space="0"/>
              <w:left w:val="nil"/>
              <w:bottom w:val="single" w:color="auto" w:sz="4" w:space="0"/>
              <w:right w:val="single" w:color="auto" w:sz="4" w:space="0"/>
            </w:tcBorders>
            <w:vAlign w:val="center"/>
          </w:tcPr>
          <w:p w14:paraId="61B6184E">
            <w:pPr>
              <w:widowControl/>
              <w:jc w:val="center"/>
              <w:rPr>
                <w:rFonts w:hint="eastAsia" w:ascii="方正仿宋_GBK" w:hAnsi="方正仿宋_GBK" w:eastAsia="方正仿宋_GBK" w:cs="方正仿宋_GBK"/>
                <w:b/>
                <w:bCs/>
                <w:sz w:val="28"/>
                <w:szCs w:val="28"/>
                <w:highlight w:val="none"/>
              </w:rPr>
            </w:pPr>
            <w:r>
              <w:rPr>
                <w:rFonts w:hint="eastAsia" w:ascii="方正仿宋_GBK" w:hAnsi="方正仿宋_GBK" w:eastAsia="方正仿宋_GBK" w:cs="方正仿宋_GBK"/>
                <w:b/>
                <w:bCs/>
                <w:sz w:val="28"/>
                <w:szCs w:val="28"/>
                <w:highlight w:val="none"/>
              </w:rPr>
              <w:t>编列内容</w:t>
            </w:r>
          </w:p>
        </w:tc>
      </w:tr>
      <w:tr w14:paraId="6721654D">
        <w:tblPrEx>
          <w:tblCellMar>
            <w:top w:w="0" w:type="dxa"/>
            <w:left w:w="108" w:type="dxa"/>
            <w:bottom w:w="0" w:type="dxa"/>
            <w:right w:w="108" w:type="dxa"/>
          </w:tblCellMar>
        </w:tblPrEx>
        <w:trPr>
          <w:trHeight w:val="570" w:hRule="atLeast"/>
        </w:trPr>
        <w:tc>
          <w:tcPr>
            <w:tcW w:w="3052" w:type="dxa"/>
            <w:gridSpan w:val="3"/>
            <w:tcBorders>
              <w:top w:val="single" w:color="auto" w:sz="4" w:space="0"/>
              <w:left w:val="single" w:color="auto" w:sz="4" w:space="0"/>
              <w:bottom w:val="single" w:color="auto" w:sz="4" w:space="0"/>
              <w:right w:val="single" w:color="auto" w:sz="4" w:space="0"/>
            </w:tcBorders>
            <w:vAlign w:val="center"/>
          </w:tcPr>
          <w:p w14:paraId="6058EFD0">
            <w:pPr>
              <w:widowControl/>
              <w:jc w:val="center"/>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t>分值组成（总分100分）</w:t>
            </w:r>
          </w:p>
        </w:tc>
        <w:tc>
          <w:tcPr>
            <w:tcW w:w="7247" w:type="dxa"/>
            <w:tcBorders>
              <w:top w:val="single" w:color="auto" w:sz="4" w:space="0"/>
              <w:left w:val="nil"/>
              <w:bottom w:val="single" w:color="auto" w:sz="4" w:space="0"/>
              <w:right w:val="single" w:color="auto" w:sz="4" w:space="0"/>
            </w:tcBorders>
            <w:vAlign w:val="center"/>
          </w:tcPr>
          <w:p w14:paraId="0551C328">
            <w:pPr>
              <w:widowControl/>
              <w:rPr>
                <w:rFonts w:hint="eastAsia" w:ascii="方正仿宋_GBK" w:hAnsi="方正仿宋_GBK" w:eastAsia="方正仿宋_GBK" w:cs="方正仿宋_GBK"/>
                <w:sz w:val="28"/>
                <w:szCs w:val="28"/>
                <w:highlight w:val="none"/>
              </w:rPr>
            </w:pPr>
            <w:r>
              <w:rPr>
                <w:rFonts w:hint="eastAsia" w:ascii="方正仿宋_GBK" w:hAnsi="方正仿宋_GBK" w:eastAsia="方正仿宋_GBK" w:cs="方正仿宋_GBK"/>
                <w:sz w:val="28"/>
                <w:szCs w:val="28"/>
                <w:highlight w:val="none"/>
              </w:rPr>
              <w:t>商务部分：</w:t>
            </w:r>
            <w:r>
              <w:rPr>
                <w:rFonts w:hint="eastAsia" w:ascii="方正仿宋_GBK" w:hAnsi="方正仿宋_GBK" w:eastAsia="方正仿宋_GBK" w:cs="方正仿宋_GBK"/>
                <w:sz w:val="28"/>
                <w:szCs w:val="28"/>
                <w:highlight w:val="none"/>
                <w:u w:val="single"/>
                <w:lang w:val="en-US" w:eastAsia="zh-CN"/>
              </w:rPr>
              <w:t>20</w:t>
            </w:r>
            <w:r>
              <w:rPr>
                <w:rFonts w:hint="eastAsia" w:ascii="方正仿宋_GBK" w:hAnsi="方正仿宋_GBK" w:eastAsia="方正仿宋_GBK" w:cs="方正仿宋_GBK"/>
                <w:sz w:val="28"/>
                <w:szCs w:val="28"/>
                <w:highlight w:val="none"/>
              </w:rPr>
              <w:t>分</w:t>
            </w:r>
            <w:r>
              <w:rPr>
                <w:rFonts w:hint="eastAsia" w:ascii="方正仿宋_GBK" w:hAnsi="方正仿宋_GBK" w:eastAsia="方正仿宋_GBK" w:cs="方正仿宋_GBK"/>
                <w:sz w:val="28"/>
                <w:szCs w:val="28"/>
                <w:highlight w:val="none"/>
                <w:lang w:val="en-US" w:eastAsia="zh-CN"/>
              </w:rPr>
              <w:t xml:space="preserve">  </w:t>
            </w:r>
            <w:r>
              <w:rPr>
                <w:rFonts w:hint="eastAsia" w:ascii="方正仿宋_GBK" w:hAnsi="方正仿宋_GBK" w:eastAsia="方正仿宋_GBK" w:cs="方正仿宋_GBK"/>
                <w:sz w:val="28"/>
                <w:szCs w:val="28"/>
                <w:highlight w:val="none"/>
              </w:rPr>
              <w:t>技术部分：</w:t>
            </w:r>
            <w:r>
              <w:rPr>
                <w:rFonts w:hint="eastAsia" w:ascii="方正仿宋_GBK" w:hAnsi="方正仿宋_GBK" w:eastAsia="方正仿宋_GBK" w:cs="方正仿宋_GBK"/>
                <w:sz w:val="28"/>
                <w:szCs w:val="28"/>
                <w:highlight w:val="none"/>
                <w:lang w:val="en-US" w:eastAsia="zh-CN"/>
              </w:rPr>
              <w:t>5</w:t>
            </w:r>
            <w:r>
              <w:rPr>
                <w:rFonts w:hint="eastAsia" w:ascii="方正仿宋_GBK" w:hAnsi="方正仿宋_GBK" w:eastAsia="方正仿宋_GBK" w:cs="方正仿宋_GBK"/>
                <w:sz w:val="28"/>
                <w:szCs w:val="28"/>
                <w:highlight w:val="none"/>
                <w:u w:val="single"/>
                <w:lang w:val="en-US" w:eastAsia="zh-CN"/>
              </w:rPr>
              <w:t>0</w:t>
            </w:r>
            <w:r>
              <w:rPr>
                <w:rFonts w:hint="eastAsia" w:ascii="方正仿宋_GBK" w:hAnsi="方正仿宋_GBK" w:eastAsia="方正仿宋_GBK" w:cs="方正仿宋_GBK"/>
                <w:sz w:val="28"/>
                <w:szCs w:val="28"/>
                <w:highlight w:val="none"/>
              </w:rPr>
              <w:t>分</w:t>
            </w:r>
            <w:r>
              <w:rPr>
                <w:rFonts w:hint="eastAsia" w:ascii="方正仿宋_GBK" w:hAnsi="方正仿宋_GBK" w:eastAsia="方正仿宋_GBK" w:cs="方正仿宋_GBK"/>
                <w:sz w:val="28"/>
                <w:szCs w:val="28"/>
                <w:highlight w:val="none"/>
                <w:lang w:val="en-US" w:eastAsia="zh-CN"/>
              </w:rPr>
              <w:t xml:space="preserve">  </w:t>
            </w:r>
            <w:r>
              <w:rPr>
                <w:rFonts w:hint="eastAsia" w:ascii="方正仿宋_GBK" w:hAnsi="方正仿宋_GBK" w:eastAsia="方正仿宋_GBK" w:cs="方正仿宋_GBK"/>
                <w:sz w:val="28"/>
                <w:szCs w:val="28"/>
                <w:highlight w:val="none"/>
              </w:rPr>
              <w:t>报价部分：</w:t>
            </w:r>
            <w:r>
              <w:rPr>
                <w:rFonts w:hint="eastAsia" w:ascii="方正仿宋_GBK" w:hAnsi="方正仿宋_GBK" w:eastAsia="方正仿宋_GBK" w:cs="方正仿宋_GBK"/>
                <w:sz w:val="28"/>
                <w:szCs w:val="28"/>
                <w:highlight w:val="none"/>
                <w:u w:val="single"/>
                <w:lang w:val="en-US" w:eastAsia="zh-CN"/>
              </w:rPr>
              <w:t>3</w:t>
            </w:r>
            <w:r>
              <w:rPr>
                <w:rFonts w:hint="eastAsia" w:ascii="方正仿宋_GBK" w:hAnsi="方正仿宋_GBK" w:eastAsia="方正仿宋_GBK" w:cs="方正仿宋_GBK"/>
                <w:sz w:val="28"/>
                <w:szCs w:val="28"/>
                <w:highlight w:val="none"/>
                <w:u w:val="single"/>
                <w:lang w:val="en-US"/>
              </w:rPr>
              <w:t>0</w:t>
            </w:r>
            <w:r>
              <w:rPr>
                <w:rFonts w:hint="eastAsia" w:ascii="方正仿宋_GBK" w:hAnsi="方正仿宋_GBK" w:eastAsia="方正仿宋_GBK" w:cs="方正仿宋_GBK"/>
                <w:sz w:val="28"/>
                <w:szCs w:val="28"/>
                <w:highlight w:val="none"/>
              </w:rPr>
              <w:t>分</w:t>
            </w:r>
          </w:p>
        </w:tc>
      </w:tr>
      <w:tr w14:paraId="3CCB72F6">
        <w:tblPrEx>
          <w:tblCellMar>
            <w:top w:w="0" w:type="dxa"/>
            <w:left w:w="108" w:type="dxa"/>
            <w:bottom w:w="0" w:type="dxa"/>
            <w:right w:w="108" w:type="dxa"/>
          </w:tblCellMar>
        </w:tblPrEx>
        <w:trPr>
          <w:trHeight w:val="616" w:hRule="atLeast"/>
        </w:trPr>
        <w:tc>
          <w:tcPr>
            <w:tcW w:w="1376" w:type="dxa"/>
            <w:tcBorders>
              <w:top w:val="single" w:color="auto" w:sz="4" w:space="0"/>
              <w:left w:val="single" w:color="auto" w:sz="4" w:space="0"/>
              <w:bottom w:val="single" w:color="auto" w:sz="4" w:space="0"/>
              <w:right w:val="single" w:color="auto" w:sz="4" w:space="0"/>
            </w:tcBorders>
            <w:vAlign w:val="center"/>
          </w:tcPr>
          <w:p w14:paraId="750B974C">
            <w:pPr>
              <w:widowControl/>
              <w:jc w:val="center"/>
              <w:rPr>
                <w:rFonts w:hint="eastAsia" w:ascii="方正仿宋_GBK" w:hAnsi="方正仿宋_GBK" w:eastAsia="方正仿宋_GBK" w:cs="方正仿宋_GBK"/>
                <w:b/>
                <w:bCs/>
                <w:sz w:val="28"/>
                <w:szCs w:val="28"/>
                <w:highlight w:val="none"/>
              </w:rPr>
            </w:pPr>
            <w:r>
              <w:rPr>
                <w:rFonts w:hint="eastAsia" w:ascii="方正仿宋_GBK" w:hAnsi="方正仿宋_GBK" w:eastAsia="方正仿宋_GBK" w:cs="方正仿宋_GBK"/>
                <w:b/>
                <w:bCs/>
                <w:sz w:val="28"/>
                <w:szCs w:val="28"/>
                <w:highlight w:val="none"/>
              </w:rPr>
              <w:t>评审项目</w:t>
            </w:r>
          </w:p>
        </w:tc>
        <w:tc>
          <w:tcPr>
            <w:tcW w:w="1002" w:type="dxa"/>
            <w:tcBorders>
              <w:top w:val="single" w:color="auto" w:sz="4" w:space="0"/>
              <w:left w:val="nil"/>
              <w:bottom w:val="single" w:color="auto" w:sz="4" w:space="0"/>
              <w:right w:val="nil"/>
            </w:tcBorders>
            <w:vAlign w:val="center"/>
          </w:tcPr>
          <w:p w14:paraId="45822318">
            <w:pPr>
              <w:widowControl/>
              <w:jc w:val="center"/>
              <w:rPr>
                <w:rFonts w:hint="eastAsia" w:ascii="方正仿宋_GBK" w:hAnsi="方正仿宋_GBK" w:eastAsia="方正仿宋_GBK" w:cs="方正仿宋_GBK"/>
                <w:b/>
                <w:bCs/>
                <w:sz w:val="28"/>
                <w:szCs w:val="28"/>
                <w:highlight w:val="none"/>
              </w:rPr>
            </w:pPr>
            <w:r>
              <w:rPr>
                <w:rFonts w:hint="eastAsia" w:ascii="方正仿宋_GBK" w:hAnsi="方正仿宋_GBK" w:eastAsia="方正仿宋_GBK" w:cs="方正仿宋_GBK"/>
                <w:b/>
                <w:bCs/>
                <w:sz w:val="28"/>
                <w:szCs w:val="28"/>
                <w:highlight w:val="none"/>
              </w:rPr>
              <w:t>评审内容</w:t>
            </w:r>
          </w:p>
        </w:tc>
        <w:tc>
          <w:tcPr>
            <w:tcW w:w="674" w:type="dxa"/>
            <w:tcBorders>
              <w:top w:val="single" w:color="auto" w:sz="4" w:space="0"/>
              <w:left w:val="single" w:color="auto" w:sz="4" w:space="0"/>
              <w:bottom w:val="single" w:color="auto" w:sz="4" w:space="0"/>
              <w:right w:val="single" w:color="auto" w:sz="4" w:space="0"/>
            </w:tcBorders>
            <w:vAlign w:val="center"/>
          </w:tcPr>
          <w:p w14:paraId="776943E8">
            <w:pPr>
              <w:widowControl/>
              <w:jc w:val="center"/>
              <w:rPr>
                <w:rFonts w:hint="eastAsia" w:ascii="方正仿宋_GBK" w:hAnsi="方正仿宋_GBK" w:eastAsia="方正仿宋_GBK" w:cs="方正仿宋_GBK"/>
                <w:b/>
                <w:bCs/>
                <w:sz w:val="28"/>
                <w:szCs w:val="28"/>
                <w:highlight w:val="none"/>
              </w:rPr>
            </w:pPr>
            <w:r>
              <w:rPr>
                <w:rFonts w:hint="eastAsia" w:ascii="方正仿宋_GBK" w:hAnsi="方正仿宋_GBK" w:eastAsia="方正仿宋_GBK" w:cs="方正仿宋_GBK"/>
                <w:b/>
                <w:bCs/>
                <w:sz w:val="28"/>
                <w:szCs w:val="28"/>
                <w:highlight w:val="none"/>
              </w:rPr>
              <w:t>分数</w:t>
            </w:r>
          </w:p>
        </w:tc>
        <w:tc>
          <w:tcPr>
            <w:tcW w:w="7247" w:type="dxa"/>
            <w:tcBorders>
              <w:top w:val="single" w:color="auto" w:sz="4" w:space="0"/>
              <w:left w:val="nil"/>
              <w:bottom w:val="single" w:color="auto" w:sz="4" w:space="0"/>
              <w:right w:val="single" w:color="auto" w:sz="4" w:space="0"/>
            </w:tcBorders>
            <w:vAlign w:val="center"/>
          </w:tcPr>
          <w:p w14:paraId="1A3E1DFD">
            <w:pPr>
              <w:widowControl/>
              <w:jc w:val="center"/>
              <w:rPr>
                <w:rFonts w:hint="eastAsia" w:ascii="方正仿宋_GBK" w:hAnsi="方正仿宋_GBK" w:eastAsia="方正仿宋_GBK" w:cs="方正仿宋_GBK"/>
                <w:b/>
                <w:bCs/>
                <w:sz w:val="28"/>
                <w:szCs w:val="28"/>
                <w:highlight w:val="none"/>
              </w:rPr>
            </w:pPr>
            <w:r>
              <w:rPr>
                <w:rFonts w:hint="eastAsia" w:ascii="方正仿宋_GBK" w:hAnsi="方正仿宋_GBK" w:eastAsia="方正仿宋_GBK" w:cs="方正仿宋_GBK"/>
                <w:b/>
                <w:bCs/>
                <w:sz w:val="28"/>
                <w:szCs w:val="28"/>
                <w:highlight w:val="none"/>
              </w:rPr>
              <w:t>评审依据</w:t>
            </w:r>
          </w:p>
        </w:tc>
      </w:tr>
      <w:tr w14:paraId="78B47811">
        <w:tblPrEx>
          <w:tblCellMar>
            <w:top w:w="0" w:type="dxa"/>
            <w:left w:w="108" w:type="dxa"/>
            <w:bottom w:w="0" w:type="dxa"/>
            <w:right w:w="108" w:type="dxa"/>
          </w:tblCellMar>
        </w:tblPrEx>
        <w:trPr>
          <w:trHeight w:val="1256" w:hRule="atLeast"/>
        </w:trPr>
        <w:tc>
          <w:tcPr>
            <w:tcW w:w="1376" w:type="dxa"/>
            <w:vMerge w:val="restart"/>
            <w:tcBorders>
              <w:top w:val="nil"/>
              <w:left w:val="single" w:color="auto" w:sz="4" w:space="0"/>
              <w:right w:val="single" w:color="auto" w:sz="4" w:space="0"/>
            </w:tcBorders>
            <w:vAlign w:val="center"/>
          </w:tcPr>
          <w:p w14:paraId="3571568D">
            <w:pPr>
              <w:widowControl/>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商务部分</w:t>
            </w:r>
          </w:p>
          <w:p w14:paraId="3810E8A3">
            <w:pPr>
              <w:widowControl/>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rPr>
              <w:t>20</w:t>
            </w:r>
            <w:r>
              <w:rPr>
                <w:rFonts w:hint="eastAsia" w:ascii="仿宋" w:hAnsi="仿宋" w:eastAsia="仿宋" w:cs="仿宋"/>
                <w:sz w:val="28"/>
                <w:szCs w:val="28"/>
                <w:highlight w:val="none"/>
              </w:rPr>
              <w:t>分）</w:t>
            </w:r>
          </w:p>
        </w:tc>
        <w:tc>
          <w:tcPr>
            <w:tcW w:w="1002" w:type="dxa"/>
            <w:tcBorders>
              <w:top w:val="nil"/>
              <w:left w:val="nil"/>
              <w:bottom w:val="single" w:color="auto" w:sz="4" w:space="0"/>
              <w:right w:val="single" w:color="auto" w:sz="4" w:space="0"/>
            </w:tcBorders>
            <w:vAlign w:val="center"/>
          </w:tcPr>
          <w:p w14:paraId="563A61B4">
            <w:pPr>
              <w:widowControl/>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val="en-US"/>
              </w:rPr>
              <w:t>类似业绩</w:t>
            </w:r>
          </w:p>
        </w:tc>
        <w:tc>
          <w:tcPr>
            <w:tcW w:w="674" w:type="dxa"/>
            <w:tcBorders>
              <w:top w:val="nil"/>
              <w:left w:val="nil"/>
              <w:bottom w:val="single" w:color="auto" w:sz="4" w:space="0"/>
              <w:right w:val="single" w:color="auto" w:sz="4" w:space="0"/>
            </w:tcBorders>
            <w:vAlign w:val="center"/>
          </w:tcPr>
          <w:p w14:paraId="21318968">
            <w:pPr>
              <w:widowControl/>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rPr>
              <w:t>1</w:t>
            </w:r>
            <w:r>
              <w:rPr>
                <w:rFonts w:hint="eastAsia" w:ascii="仿宋" w:hAnsi="仿宋" w:eastAsia="仿宋" w:cs="仿宋"/>
                <w:sz w:val="28"/>
                <w:szCs w:val="28"/>
                <w:highlight w:val="none"/>
                <w:lang w:val="en-US" w:eastAsia="zh-CN"/>
              </w:rPr>
              <w:t>2</w:t>
            </w:r>
          </w:p>
        </w:tc>
        <w:tc>
          <w:tcPr>
            <w:tcW w:w="7247" w:type="dxa"/>
            <w:tcBorders>
              <w:top w:val="nil"/>
              <w:left w:val="nil"/>
              <w:bottom w:val="single" w:color="auto" w:sz="4" w:space="0"/>
              <w:right w:val="single" w:color="auto" w:sz="4" w:space="0"/>
            </w:tcBorders>
            <w:vAlign w:val="center"/>
          </w:tcPr>
          <w:p w14:paraId="55C50F7D">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近三年2023年1月1日至今具有类似业绩，有一项得2分，最多得12分。 </w:t>
            </w:r>
          </w:p>
          <w:p w14:paraId="7F27FC09">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（注: 评审时须提供业绩中标通知书和设计合同）。</w:t>
            </w:r>
          </w:p>
        </w:tc>
      </w:tr>
      <w:tr w14:paraId="79ABE03E">
        <w:tblPrEx>
          <w:tblCellMar>
            <w:top w:w="0" w:type="dxa"/>
            <w:left w:w="108" w:type="dxa"/>
            <w:bottom w:w="0" w:type="dxa"/>
            <w:right w:w="108" w:type="dxa"/>
          </w:tblCellMar>
        </w:tblPrEx>
        <w:trPr>
          <w:trHeight w:val="1256" w:hRule="atLeast"/>
        </w:trPr>
        <w:tc>
          <w:tcPr>
            <w:tcW w:w="1376" w:type="dxa"/>
            <w:vMerge w:val="continue"/>
            <w:tcBorders>
              <w:left w:val="single" w:color="auto" w:sz="4" w:space="0"/>
              <w:right w:val="single" w:color="auto" w:sz="4" w:space="0"/>
            </w:tcBorders>
            <w:vAlign w:val="center"/>
          </w:tcPr>
          <w:p w14:paraId="7EA9DB81">
            <w:pPr>
              <w:widowControl/>
              <w:jc w:val="center"/>
              <w:rPr>
                <w:rFonts w:hint="eastAsia" w:ascii="仿宋" w:hAnsi="仿宋" w:eastAsia="仿宋" w:cs="仿宋"/>
                <w:sz w:val="28"/>
                <w:szCs w:val="28"/>
                <w:highlight w:val="none"/>
              </w:rPr>
            </w:pPr>
          </w:p>
        </w:tc>
        <w:tc>
          <w:tcPr>
            <w:tcW w:w="1002" w:type="dxa"/>
            <w:tcBorders>
              <w:top w:val="nil"/>
              <w:left w:val="nil"/>
              <w:bottom w:val="single" w:color="auto" w:sz="4" w:space="0"/>
              <w:right w:val="single" w:color="auto" w:sz="4" w:space="0"/>
            </w:tcBorders>
            <w:vAlign w:val="center"/>
          </w:tcPr>
          <w:p w14:paraId="007E9EB3">
            <w:pPr>
              <w:widowControl/>
              <w:jc w:val="center"/>
              <w:rPr>
                <w:rFonts w:hint="eastAsia" w:ascii="仿宋" w:hAnsi="仿宋" w:eastAsia="仿宋" w:cs="仿宋"/>
                <w:sz w:val="28"/>
                <w:szCs w:val="28"/>
                <w:highlight w:val="none"/>
                <w:lang w:val="en-US"/>
              </w:rPr>
            </w:pPr>
            <w:r>
              <w:rPr>
                <w:rFonts w:hint="eastAsia" w:ascii="仿宋" w:hAnsi="仿宋" w:eastAsia="仿宋" w:cs="仿宋"/>
                <w:spacing w:val="8"/>
                <w:sz w:val="28"/>
                <w:szCs w:val="28"/>
                <w:highlight w:val="none"/>
              </w:rPr>
              <w:t>工程</w:t>
            </w:r>
            <w:r>
              <w:rPr>
                <w:rFonts w:hint="eastAsia" w:ascii="仿宋" w:hAnsi="仿宋" w:eastAsia="仿宋" w:cs="仿宋"/>
                <w:color w:val="auto"/>
                <w:spacing w:val="8"/>
                <w:sz w:val="28"/>
                <w:szCs w:val="28"/>
                <w:highlight w:val="none"/>
              </w:rPr>
              <w:t>师</w:t>
            </w:r>
            <w:r>
              <w:rPr>
                <w:rFonts w:hint="eastAsia" w:ascii="仿宋" w:hAnsi="仿宋" w:eastAsia="仿宋" w:cs="仿宋"/>
                <w:spacing w:val="8"/>
                <w:sz w:val="28"/>
                <w:szCs w:val="28"/>
                <w:highlight w:val="none"/>
              </w:rPr>
              <w:t>资格</w:t>
            </w:r>
          </w:p>
        </w:tc>
        <w:tc>
          <w:tcPr>
            <w:tcW w:w="674" w:type="dxa"/>
            <w:tcBorders>
              <w:top w:val="nil"/>
              <w:left w:val="nil"/>
              <w:bottom w:val="single" w:color="auto" w:sz="4" w:space="0"/>
              <w:right w:val="single" w:color="auto" w:sz="4" w:space="0"/>
            </w:tcBorders>
            <w:vAlign w:val="center"/>
          </w:tcPr>
          <w:p w14:paraId="7D82618E">
            <w:pPr>
              <w:widowControl/>
              <w:jc w:val="center"/>
              <w:rPr>
                <w:rFonts w:hint="eastAsia" w:ascii="仿宋" w:hAnsi="仿宋" w:eastAsia="仿宋" w:cs="仿宋"/>
                <w:sz w:val="28"/>
                <w:szCs w:val="28"/>
                <w:highlight w:val="none"/>
                <w:lang w:val="en-US"/>
              </w:rPr>
            </w:pPr>
            <w:r>
              <w:rPr>
                <w:rFonts w:hint="eastAsia" w:ascii="仿宋" w:hAnsi="仿宋" w:eastAsia="仿宋" w:cs="仿宋"/>
                <w:sz w:val="28"/>
                <w:szCs w:val="28"/>
                <w:highlight w:val="none"/>
                <w:lang w:val="en-US"/>
              </w:rPr>
              <w:t>8</w:t>
            </w:r>
          </w:p>
        </w:tc>
        <w:tc>
          <w:tcPr>
            <w:tcW w:w="7247" w:type="dxa"/>
            <w:tcBorders>
              <w:top w:val="nil"/>
              <w:left w:val="nil"/>
              <w:bottom w:val="single" w:color="auto" w:sz="4" w:space="0"/>
              <w:right w:val="single" w:color="auto" w:sz="4" w:space="0"/>
            </w:tcBorders>
            <w:vAlign w:val="center"/>
          </w:tcPr>
          <w:p w14:paraId="67E5E6C9">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拟派人员中，具有注册电子或信息化类咨询工程师执业资格的得2分；具有网络安全工程师执业资格的得2分；具有注册电子工程师执业资格的得2分；具有系统架构师执业资格的得2分。</w:t>
            </w:r>
          </w:p>
          <w:p w14:paraId="0151E87F">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同一人同时具备以上两项以上执业资格的，只得4分。</w:t>
            </w:r>
          </w:p>
        </w:tc>
      </w:tr>
      <w:tr w14:paraId="261362E5">
        <w:tblPrEx>
          <w:tblCellMar>
            <w:top w:w="0" w:type="dxa"/>
            <w:left w:w="108" w:type="dxa"/>
            <w:bottom w:w="0" w:type="dxa"/>
            <w:right w:w="108" w:type="dxa"/>
          </w:tblCellMar>
        </w:tblPrEx>
        <w:trPr>
          <w:trHeight w:val="4707" w:hRule="atLeast"/>
        </w:trPr>
        <w:tc>
          <w:tcPr>
            <w:tcW w:w="1376" w:type="dxa"/>
            <w:tcBorders>
              <w:top w:val="single" w:color="auto" w:sz="4" w:space="0"/>
              <w:left w:val="single" w:color="auto" w:sz="4" w:space="0"/>
              <w:right w:val="single" w:color="auto" w:sz="4" w:space="0"/>
            </w:tcBorders>
            <w:vAlign w:val="center"/>
          </w:tcPr>
          <w:p w14:paraId="268182D0">
            <w:pPr>
              <w:widowControl/>
              <w:jc w:val="both"/>
              <w:rPr>
                <w:rFonts w:hint="eastAsia" w:ascii="仿宋" w:hAnsi="仿宋" w:eastAsia="仿宋" w:cs="仿宋"/>
                <w:sz w:val="28"/>
                <w:szCs w:val="28"/>
                <w:highlight w:val="none"/>
              </w:rPr>
            </w:pPr>
            <w:r>
              <w:rPr>
                <w:rFonts w:hint="eastAsia" w:ascii="仿宋" w:hAnsi="仿宋" w:eastAsia="仿宋" w:cs="仿宋"/>
                <w:sz w:val="28"/>
                <w:szCs w:val="28"/>
                <w:highlight w:val="none"/>
              </w:rPr>
              <w:t>技术部分（</w:t>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lang w:val="en-US"/>
              </w:rPr>
              <w:t>0</w:t>
            </w:r>
            <w:r>
              <w:rPr>
                <w:rFonts w:hint="eastAsia" w:ascii="仿宋" w:hAnsi="仿宋" w:eastAsia="仿宋" w:cs="仿宋"/>
                <w:sz w:val="28"/>
                <w:szCs w:val="28"/>
                <w:highlight w:val="none"/>
                <w:lang w:val="en-US" w:eastAsia="zh-CN"/>
              </w:rPr>
              <w:t>分</w:t>
            </w:r>
            <w:r>
              <w:rPr>
                <w:rFonts w:hint="eastAsia" w:ascii="仿宋" w:hAnsi="仿宋" w:eastAsia="仿宋" w:cs="仿宋"/>
                <w:sz w:val="28"/>
                <w:szCs w:val="28"/>
                <w:highlight w:val="none"/>
              </w:rPr>
              <w:t>）</w:t>
            </w:r>
          </w:p>
        </w:tc>
        <w:tc>
          <w:tcPr>
            <w:tcW w:w="1002" w:type="dxa"/>
            <w:tcBorders>
              <w:top w:val="single" w:color="auto" w:sz="4" w:space="0"/>
              <w:left w:val="single" w:color="auto" w:sz="4" w:space="0"/>
              <w:bottom w:val="single" w:color="auto" w:sz="4" w:space="0"/>
              <w:right w:val="single" w:color="auto" w:sz="4" w:space="0"/>
            </w:tcBorders>
            <w:vAlign w:val="center"/>
          </w:tcPr>
          <w:p w14:paraId="3DF9E50E">
            <w:pPr>
              <w:widowControl/>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val="en-US"/>
              </w:rPr>
              <w:t>整体方案</w:t>
            </w:r>
          </w:p>
        </w:tc>
        <w:tc>
          <w:tcPr>
            <w:tcW w:w="674" w:type="dxa"/>
            <w:tcBorders>
              <w:top w:val="single" w:color="auto" w:sz="4" w:space="0"/>
              <w:left w:val="single" w:color="auto" w:sz="4" w:space="0"/>
              <w:bottom w:val="single" w:color="auto" w:sz="4" w:space="0"/>
              <w:right w:val="single" w:color="auto" w:sz="4" w:space="0"/>
            </w:tcBorders>
            <w:vAlign w:val="center"/>
          </w:tcPr>
          <w:p w14:paraId="321380F7">
            <w:pPr>
              <w:widowControl/>
              <w:jc w:val="center"/>
              <w:rPr>
                <w:rFonts w:hint="eastAsia" w:ascii="仿宋" w:hAnsi="仿宋" w:eastAsia="仿宋" w:cs="仿宋"/>
                <w:sz w:val="28"/>
                <w:szCs w:val="28"/>
                <w:highlight w:val="none"/>
                <w:lang w:val="en-US"/>
              </w:rPr>
            </w:pPr>
            <w:r>
              <w:rPr>
                <w:rFonts w:hint="eastAsia" w:ascii="仿宋" w:hAnsi="仿宋" w:eastAsia="仿宋" w:cs="仿宋"/>
                <w:sz w:val="28"/>
                <w:szCs w:val="28"/>
                <w:highlight w:val="none"/>
                <w:lang w:val="en-US"/>
              </w:rPr>
              <w:t>50</w:t>
            </w:r>
          </w:p>
        </w:tc>
        <w:tc>
          <w:tcPr>
            <w:tcW w:w="7247" w:type="dxa"/>
            <w:tcBorders>
              <w:top w:val="single" w:color="auto" w:sz="4" w:space="0"/>
              <w:left w:val="single" w:color="auto" w:sz="4" w:space="0"/>
              <w:bottom w:val="single" w:color="auto" w:sz="4" w:space="0"/>
              <w:right w:val="single" w:color="auto" w:sz="4" w:space="0"/>
            </w:tcBorders>
            <w:vAlign w:val="center"/>
          </w:tcPr>
          <w:p w14:paraId="43A04BF9">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根据项目实际需求和特殊性制定完整、科学、符合项目需求的服务方案，包括但不限于：①设计范围、②设计服务、 ③设计质量控制措施、④设计服务的造价控制措施、⑤设计服务的进度控制措施、⑥设计服务的安全管理职责、⑦设计服务的工作制度和工作设施情况、⑧对本项目重点难点分析内容及应对方案、⑨拟派团队和人员分工、⑩组织协调措施等。以上内容每小项得5分，最高得50分。小项中每有1处不满足或不符合的扣2.5分，扣完为止。</w:t>
            </w:r>
          </w:p>
          <w:p w14:paraId="6FB64DD1">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不满足或不符合指：不符合项目的实际情况；与采购需求无关；内容前后不一致；方案内容逻辑矛盾、技术标准或规范引用错误、内容胡乱拼凑等。为方便专家评审，各潜在供应商在编制项目实施方案时，内容须清晰明了。</w:t>
            </w:r>
          </w:p>
        </w:tc>
      </w:tr>
      <w:tr w14:paraId="0EC62AD0">
        <w:tblPrEx>
          <w:tblCellMar>
            <w:top w:w="0" w:type="dxa"/>
            <w:left w:w="108" w:type="dxa"/>
            <w:bottom w:w="0" w:type="dxa"/>
            <w:right w:w="108" w:type="dxa"/>
          </w:tblCellMar>
        </w:tblPrEx>
        <w:trPr>
          <w:trHeight w:val="1304" w:hRule="atLeast"/>
        </w:trPr>
        <w:tc>
          <w:tcPr>
            <w:tcW w:w="2378" w:type="dxa"/>
            <w:gridSpan w:val="2"/>
            <w:tcBorders>
              <w:top w:val="single" w:color="auto" w:sz="4" w:space="0"/>
              <w:left w:val="single" w:color="auto" w:sz="4" w:space="0"/>
              <w:bottom w:val="single" w:color="auto" w:sz="4" w:space="0"/>
              <w:right w:val="single" w:color="000000" w:sz="4" w:space="0"/>
            </w:tcBorders>
            <w:vAlign w:val="center"/>
          </w:tcPr>
          <w:p w14:paraId="3E1CE8CD">
            <w:pPr>
              <w:widowControl/>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价格部分合计</w:t>
            </w:r>
          </w:p>
          <w:p w14:paraId="193EABE5">
            <w:pPr>
              <w:widowControl/>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lang w:val="en-US"/>
              </w:rPr>
              <w:t>0</w:t>
            </w:r>
            <w:r>
              <w:rPr>
                <w:rFonts w:hint="eastAsia" w:ascii="仿宋" w:hAnsi="仿宋" w:eastAsia="仿宋" w:cs="仿宋"/>
                <w:sz w:val="28"/>
                <w:szCs w:val="28"/>
                <w:highlight w:val="none"/>
              </w:rPr>
              <w:t>分）</w:t>
            </w:r>
          </w:p>
        </w:tc>
        <w:tc>
          <w:tcPr>
            <w:tcW w:w="674" w:type="dxa"/>
            <w:tcBorders>
              <w:top w:val="nil"/>
              <w:left w:val="nil"/>
              <w:bottom w:val="single" w:color="auto" w:sz="4" w:space="0"/>
              <w:right w:val="single" w:color="auto" w:sz="4" w:space="0"/>
            </w:tcBorders>
            <w:vAlign w:val="center"/>
          </w:tcPr>
          <w:p w14:paraId="0754C1BF">
            <w:pPr>
              <w:widowControl/>
              <w:rPr>
                <w:rFonts w:hint="eastAsia" w:ascii="仿宋" w:hAnsi="仿宋" w:eastAsia="仿宋" w:cs="仿宋"/>
                <w:sz w:val="28"/>
                <w:szCs w:val="28"/>
                <w:highlight w:val="none"/>
                <w:lang w:val="en-US"/>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lang w:val="en-US"/>
              </w:rPr>
              <w:t>0</w:t>
            </w:r>
          </w:p>
        </w:tc>
        <w:tc>
          <w:tcPr>
            <w:tcW w:w="7247" w:type="dxa"/>
            <w:tcBorders>
              <w:top w:val="nil"/>
              <w:left w:val="nil"/>
              <w:bottom w:val="single" w:color="auto" w:sz="4" w:space="0"/>
              <w:right w:val="single" w:color="auto" w:sz="4" w:space="0"/>
            </w:tcBorders>
            <w:vAlign w:val="center"/>
          </w:tcPr>
          <w:p w14:paraId="628911EF">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投标报价得分=（评标基准价/投标报价）*30</w:t>
            </w:r>
            <w:r>
              <w:rPr>
                <w:rFonts w:hint="eastAsia" w:ascii="仿宋" w:hAnsi="仿宋" w:eastAsia="仿宋" w:cs="仿宋"/>
                <w:sz w:val="28"/>
                <w:szCs w:val="28"/>
                <w:highlight w:val="none"/>
                <w:lang w:val="en-US" w:eastAsia="zh-CN"/>
              </w:rPr>
              <w:br w:type="textWrapping"/>
            </w:r>
            <w:r>
              <w:rPr>
                <w:rFonts w:hint="eastAsia" w:ascii="仿宋" w:hAnsi="仿宋" w:eastAsia="仿宋" w:cs="仿宋"/>
                <w:sz w:val="28"/>
                <w:szCs w:val="28"/>
                <w:highlight w:val="none"/>
                <w:lang w:val="en-US" w:eastAsia="zh-CN"/>
              </w:rPr>
              <w:t>注：满足招标文件要求且投标下浮率最低的投标报价为评标基准价。</w:t>
            </w:r>
          </w:p>
          <w:p w14:paraId="60351E06">
            <w:pP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评标委员会认为投标人的报价明显低于其他通过符合性审查投标人的报价，有可能影响产品质量或者不能诚信履约的，评标委员会可将其作为无效投标处理。</w:t>
            </w:r>
          </w:p>
        </w:tc>
      </w:tr>
    </w:tbl>
    <w:p w14:paraId="6D325BEB">
      <w:pPr>
        <w:spacing w:line="364" w:lineRule="auto"/>
        <w:rPr>
          <w:rFonts w:hint="eastAsia" w:ascii="方正仿宋_GBK" w:hAnsi="方正仿宋_GBK" w:eastAsia="方正仿宋_GBK" w:cs="方正仿宋_GBK"/>
          <w:sz w:val="28"/>
          <w:szCs w:val="28"/>
          <w:highlight w:val="none"/>
        </w:rPr>
        <w:sectPr>
          <w:footerReference r:id="rId3" w:type="default"/>
          <w:pgSz w:w="11910" w:h="16840"/>
          <w:pgMar w:top="1080" w:right="621" w:bottom="1380" w:left="960" w:header="0" w:footer="1119" w:gutter="0"/>
          <w:pgBorders>
            <w:top w:val="none" w:sz="0" w:space="0"/>
            <w:left w:val="none" w:sz="0" w:space="0"/>
            <w:bottom w:val="none" w:sz="0" w:space="0"/>
            <w:right w:val="none" w:sz="0" w:space="0"/>
          </w:pgBorders>
          <w:pgNumType w:fmt="numberInDash"/>
          <w:cols w:space="720" w:num="1"/>
        </w:sectPr>
      </w:pPr>
    </w:p>
    <w:p w14:paraId="7DC5BCAF">
      <w:pPr>
        <w:tabs>
          <w:tab w:val="left" w:pos="1703"/>
        </w:tabs>
        <w:bidi w:val="0"/>
        <w:jc w:val="left"/>
        <w:rPr>
          <w:rFonts w:hint="eastAsia" w:ascii="方正仿宋_GBK" w:hAnsi="方正仿宋_GBK" w:eastAsia="方正仿宋_GBK" w:cs="方正仿宋_GBK"/>
          <w:lang w:val="zh-CN"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0AE0F">
    <w:pPr>
      <w:pStyle w:val="6"/>
      <w:spacing w:line="14" w:lineRule="auto"/>
      <w:rPr>
        <w:rFonts w:hint="eastAsia"/>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2FA259">
                          <w:pPr>
                            <w:pStyle w:val="7"/>
                            <w:rPr>
                              <w:rFonts w:hint="eastAsia"/>
                            </w:rPr>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2B2FA259">
                    <w:pPr>
                      <w:pStyle w:val="7"/>
                      <w:rPr>
                        <w:rFonts w:hint="eastAsia"/>
                      </w:rPr>
                    </w:pPr>
                    <w:r>
                      <w:fldChar w:fldCharType="begin"/>
                    </w:r>
                    <w:r>
                      <w:instrText xml:space="preserve"> PAGE  \* MERGEFORMAT </w:instrText>
                    </w:r>
                    <w:r>
                      <w:fldChar w:fldCharType="separate"/>
                    </w:r>
                    <w:r>
                      <w:t>48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879AEF"/>
    <w:multiLevelType w:val="multilevel"/>
    <w:tmpl w:val="C8879AEF"/>
    <w:lvl w:ilvl="0" w:tentative="0">
      <w:start w:val="18"/>
      <w:numFmt w:val="decimal"/>
      <w:lvlText w:val="%1."/>
      <w:lvlJc w:val="left"/>
      <w:pPr>
        <w:ind w:left="1419" w:hanging="481"/>
        <w:jc w:val="left"/>
      </w:pPr>
      <w:rPr>
        <w:rFonts w:hint="default" w:ascii="宋体" w:hAnsi="宋体" w:eastAsia="宋体" w:cs="宋体"/>
        <w:b/>
        <w:bCs/>
        <w:spacing w:val="-3"/>
        <w:w w:val="99"/>
        <w:sz w:val="22"/>
        <w:szCs w:val="22"/>
        <w:lang w:val="zh-CN" w:eastAsia="zh-CN" w:bidi="zh-CN"/>
      </w:rPr>
    </w:lvl>
    <w:lvl w:ilvl="1" w:tentative="0">
      <w:start w:val="1"/>
      <w:numFmt w:val="decimal"/>
      <w:pStyle w:val="14"/>
      <w:lvlText w:val="%1.%2"/>
      <w:lvlJc w:val="left"/>
      <w:pPr>
        <w:ind w:left="458"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409" w:hanging="540"/>
      </w:pPr>
      <w:rPr>
        <w:rFonts w:hint="default"/>
        <w:lang w:val="zh-CN" w:eastAsia="zh-CN" w:bidi="zh-CN"/>
      </w:rPr>
    </w:lvl>
    <w:lvl w:ilvl="3" w:tentative="0">
      <w:start w:val="0"/>
      <w:numFmt w:val="bullet"/>
      <w:lvlText w:val="•"/>
      <w:lvlJc w:val="left"/>
      <w:pPr>
        <w:ind w:left="3399" w:hanging="540"/>
      </w:pPr>
      <w:rPr>
        <w:rFonts w:hint="default"/>
        <w:lang w:val="zh-CN" w:eastAsia="zh-CN" w:bidi="zh-CN"/>
      </w:rPr>
    </w:lvl>
    <w:lvl w:ilvl="4" w:tentative="0">
      <w:start w:val="0"/>
      <w:numFmt w:val="bullet"/>
      <w:lvlText w:val="•"/>
      <w:lvlJc w:val="left"/>
      <w:pPr>
        <w:ind w:left="4388" w:hanging="540"/>
      </w:pPr>
      <w:rPr>
        <w:rFonts w:hint="default"/>
        <w:lang w:val="zh-CN" w:eastAsia="zh-CN" w:bidi="zh-CN"/>
      </w:rPr>
    </w:lvl>
    <w:lvl w:ilvl="5" w:tentative="0">
      <w:start w:val="0"/>
      <w:numFmt w:val="bullet"/>
      <w:lvlText w:val="•"/>
      <w:lvlJc w:val="left"/>
      <w:pPr>
        <w:ind w:left="5378" w:hanging="540"/>
      </w:pPr>
      <w:rPr>
        <w:rFonts w:hint="default"/>
        <w:lang w:val="zh-CN" w:eastAsia="zh-CN" w:bidi="zh-CN"/>
      </w:rPr>
    </w:lvl>
    <w:lvl w:ilvl="6" w:tentative="0">
      <w:start w:val="0"/>
      <w:numFmt w:val="bullet"/>
      <w:lvlText w:val="•"/>
      <w:lvlJc w:val="left"/>
      <w:pPr>
        <w:ind w:left="6367" w:hanging="540"/>
      </w:pPr>
      <w:rPr>
        <w:rFonts w:hint="default"/>
        <w:lang w:val="zh-CN" w:eastAsia="zh-CN" w:bidi="zh-CN"/>
      </w:rPr>
    </w:lvl>
    <w:lvl w:ilvl="7" w:tentative="0">
      <w:start w:val="0"/>
      <w:numFmt w:val="bullet"/>
      <w:lvlText w:val="•"/>
      <w:lvlJc w:val="left"/>
      <w:pPr>
        <w:ind w:left="7357" w:hanging="540"/>
      </w:pPr>
      <w:rPr>
        <w:rFonts w:hint="default"/>
        <w:lang w:val="zh-CN" w:eastAsia="zh-CN" w:bidi="zh-CN"/>
      </w:rPr>
    </w:lvl>
    <w:lvl w:ilvl="8" w:tentative="0">
      <w:start w:val="0"/>
      <w:numFmt w:val="bullet"/>
      <w:lvlText w:val="•"/>
      <w:lvlJc w:val="left"/>
      <w:pPr>
        <w:ind w:left="8346" w:hanging="540"/>
      </w:pPr>
      <w:rPr>
        <w:rFonts w:hint="default"/>
        <w:lang w:val="zh-CN" w:eastAsia="zh-CN" w:bidi="zh-CN"/>
      </w:rPr>
    </w:lvl>
  </w:abstractNum>
  <w:abstractNum w:abstractNumId="1">
    <w:nsid w:val="033E864D"/>
    <w:multiLevelType w:val="singleLevel"/>
    <w:tmpl w:val="033E864D"/>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64C26"/>
    <w:rsid w:val="0087167F"/>
    <w:rsid w:val="03B04267"/>
    <w:rsid w:val="09C61491"/>
    <w:rsid w:val="16236B96"/>
    <w:rsid w:val="19047AC5"/>
    <w:rsid w:val="20587880"/>
    <w:rsid w:val="26296E81"/>
    <w:rsid w:val="2686651E"/>
    <w:rsid w:val="2DD653C6"/>
    <w:rsid w:val="2DDE2E34"/>
    <w:rsid w:val="2FDB5B6F"/>
    <w:rsid w:val="341E492E"/>
    <w:rsid w:val="344835B8"/>
    <w:rsid w:val="39E44E71"/>
    <w:rsid w:val="3C67B944"/>
    <w:rsid w:val="3DD77D77"/>
    <w:rsid w:val="3EB219E2"/>
    <w:rsid w:val="43D54C44"/>
    <w:rsid w:val="458343AB"/>
    <w:rsid w:val="4809333E"/>
    <w:rsid w:val="4B0B6057"/>
    <w:rsid w:val="4D865887"/>
    <w:rsid w:val="510D2AA8"/>
    <w:rsid w:val="54EF3267"/>
    <w:rsid w:val="5C9122C7"/>
    <w:rsid w:val="655129B6"/>
    <w:rsid w:val="666C740A"/>
    <w:rsid w:val="678E71B8"/>
    <w:rsid w:val="68E6027C"/>
    <w:rsid w:val="77A54F38"/>
    <w:rsid w:val="78F51D83"/>
    <w:rsid w:val="7B694F92"/>
    <w:rsid w:val="7C920181"/>
    <w:rsid w:val="7E56925B"/>
    <w:rsid w:val="A6BF6E93"/>
    <w:rsid w:val="B77ECFC8"/>
    <w:rsid w:val="D3DE2979"/>
    <w:rsid w:val="F37D7077"/>
    <w:rsid w:val="FDEB1A41"/>
    <w:rsid w:val="FFFF90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36"/>
      <w:ind w:right="52"/>
      <w:jc w:val="center"/>
      <w:outlineLvl w:val="0"/>
    </w:pPr>
    <w:rPr>
      <w:b/>
      <w:bCs/>
      <w:sz w:val="36"/>
      <w:szCs w:val="36"/>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6"/>
    <w:basedOn w:val="1"/>
    <w:next w:val="1"/>
    <w:qFormat/>
    <w:uiPriority w:val="1"/>
    <w:pPr>
      <w:ind w:left="455"/>
      <w:outlineLvl w:val="5"/>
    </w:pPr>
    <w:rPr>
      <w:b/>
      <w:bCs/>
      <w:sz w:val="24"/>
      <w:szCs w:val="2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Body Text"/>
    <w:basedOn w:val="1"/>
    <w:next w:val="1"/>
    <w:qFormat/>
    <w:uiPriority w:val="1"/>
    <w:rPr>
      <w:sz w:val="24"/>
      <w:szCs w:val="24"/>
    </w:rPr>
  </w:style>
  <w:style w:type="paragraph" w:styleId="7">
    <w:name w:val="footer"/>
    <w:basedOn w:val="1"/>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6"/>
    <w:qFormat/>
    <w:uiPriority w:val="0"/>
    <w:pPr>
      <w:ind w:firstLine="420" w:firstLineChars="100"/>
    </w:pPr>
  </w:style>
  <w:style w:type="character" w:styleId="13">
    <w:name w:val="Strong"/>
    <w:basedOn w:val="12"/>
    <w:qFormat/>
    <w:uiPriority w:val="0"/>
    <w:rPr>
      <w:b/>
    </w:rPr>
  </w:style>
  <w:style w:type="paragraph" w:styleId="14">
    <w:name w:val="List Paragraph"/>
    <w:basedOn w:val="1"/>
    <w:qFormat/>
    <w:uiPriority w:val="1"/>
    <w:pPr>
      <w:numPr>
        <w:ilvl w:val="1"/>
        <w:numId w:val="1"/>
      </w:numPr>
      <w:tabs>
        <w:tab w:val="left" w:pos="1877"/>
      </w:tabs>
      <w:spacing w:before="1" w:line="362" w:lineRule="auto"/>
      <w:ind w:right="510" w:firstLine="676"/>
      <w:jc w:val="both"/>
    </w:pPr>
  </w:style>
  <w:style w:type="paragraph" w:customStyle="1" w:styleId="15">
    <w:name w:val="Table Paragraph"/>
    <w:basedOn w:val="1"/>
    <w:qFormat/>
    <w:uiPriority w:val="1"/>
  </w:style>
  <w:style w:type="paragraph" w:customStyle="1" w:styleId="16">
    <w:name w:val="列出段落9"/>
    <w:basedOn w:val="1"/>
    <w:qFormat/>
    <w:uiPriority w:val="0"/>
    <w:pPr>
      <w:ind w:firstLine="420" w:firstLineChars="200"/>
    </w:pPr>
  </w:style>
  <w:style w:type="paragraph" w:customStyle="1" w:styleId="17">
    <w:name w:val="Body text|1"/>
    <w:basedOn w:val="1"/>
    <w:qFormat/>
    <w:uiPriority w:val="0"/>
    <w:pPr>
      <w:widowControl w:val="0"/>
      <w:shd w:val="clear" w:color="auto" w:fill="auto"/>
      <w:spacing w:line="420" w:lineRule="auto"/>
      <w:ind w:firstLine="400"/>
    </w:pPr>
    <w:rPr>
      <w:rFonts w:ascii="宋体" w:hAnsi="宋体" w:eastAsia="宋体" w:cs="宋体"/>
      <w:sz w:val="22"/>
      <w:szCs w:val="22"/>
      <w:u w:val="none"/>
      <w:shd w:val="clear" w:color="auto" w:fill="auto"/>
      <w:lang w:val="zh-TW" w:eastAsia="zh-TW" w:bidi="zh-TW"/>
    </w:rPr>
  </w:style>
  <w:style w:type="paragraph" w:customStyle="1" w:styleId="18">
    <w:name w:val="GHC 正文"/>
    <w:basedOn w:val="1"/>
    <w:qFormat/>
    <w:uiPriority w:val="0"/>
    <w:pPr>
      <w:spacing w:line="360" w:lineRule="auto"/>
      <w:ind w:firstLine="480" w:firstLineChars="200"/>
    </w:pPr>
    <w:rPr>
      <w:rFonts w:ascii="宋体" w:hAnsi="宋体" w:eastAsia="宋体" w:cs="Times New Roman"/>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3130</Words>
  <Characters>3202</Characters>
  <Lines>0</Lines>
  <Paragraphs>0</Paragraphs>
  <TotalTime>6</TotalTime>
  <ScaleCrop>false</ScaleCrop>
  <LinksUpToDate>false</LinksUpToDate>
  <CharactersWithSpaces>3237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2025-10-21T21:31:00Z</dcterms:created>
  <dc:creator>z</dc:creator>
  <cp:lastModifiedBy>Take me away</cp:lastModifiedBy>
  <cp:lastPrinted>2026-08-04T08:48:00Z</cp:lastPrinted>
  <dcterms:modified xsi:type="dcterms:W3CDTF">2026-08-07T03:28:06Z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eyJoZGlkIjoiYjllNWYzMWY2NzMwMDFhYWJkYTZkNmZmNjA0NjE4ZjAiLCJ1c2VySWQiOiI1Mzg1NDkzNzEifQ==</vt:lpwstr>
  </property>
  <property fmtid="{D5CDD505-2E9C-101B-9397-08002B2CF9AE}" pid="4" name="ICV">
    <vt:lpwstr>E49CCA9C62E24C01A152B0DD7A895045_13</vt:lpwstr>
  </property>
</Properties>
</file>