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081DD">
      <w:pPr>
        <w:pStyle w:val="2"/>
        <w:spacing w:before="37"/>
        <w:ind w:right="49"/>
        <w:jc w:val="center"/>
        <w:rPr>
          <w:rFonts w:hint="eastAsia" w:ascii="方正小标宋_GBK" w:hAnsi="方正小标宋_GBK" w:eastAsia="方正小标宋_GBK" w:cs="方正小标宋_GBK"/>
          <w:sz w:val="44"/>
          <w:szCs w:val="44"/>
        </w:rPr>
      </w:pPr>
      <w:bookmarkStart w:id="0" w:name="_Toc28311"/>
      <w:r>
        <w:rPr>
          <w:rFonts w:hint="eastAsia" w:ascii="方正小标宋_GBK" w:hAnsi="方正小标宋_GBK" w:eastAsia="方正小标宋_GBK" w:cs="方正小标宋_GBK"/>
          <w:sz w:val="44"/>
          <w:szCs w:val="44"/>
        </w:rPr>
        <w:t>第</w:t>
      </w:r>
      <w:r>
        <w:rPr>
          <w:rFonts w:hint="eastAsia" w:ascii="方正小标宋_GBK" w:hAnsi="方正小标宋_GBK" w:eastAsia="方正小标宋_GBK" w:cs="方正小标宋_GBK"/>
          <w:sz w:val="44"/>
          <w:szCs w:val="44"/>
          <w:lang w:val="en-US" w:eastAsia="zh-CN"/>
        </w:rPr>
        <w:t>一</w:t>
      </w:r>
      <w:r>
        <w:rPr>
          <w:rFonts w:hint="eastAsia" w:ascii="方正小标宋_GBK" w:hAnsi="方正小标宋_GBK" w:eastAsia="方正小标宋_GBK" w:cs="方正小标宋_GBK"/>
          <w:sz w:val="44"/>
          <w:szCs w:val="44"/>
        </w:rPr>
        <w:t>章 项目技术、商务及其他要求</w:t>
      </w:r>
      <w:bookmarkEnd w:id="0"/>
    </w:p>
    <w:p w14:paraId="2F23B965">
      <w:pPr>
        <w:pStyle w:val="6"/>
        <w:spacing w:before="5"/>
        <w:rPr>
          <w:rFonts w:hint="eastAsia" w:ascii="方正仿宋_GBK" w:hAnsi="方正仿宋_GBK" w:eastAsia="方正仿宋_GBK" w:cs="方正仿宋_GBK"/>
          <w:b/>
          <w:sz w:val="20"/>
        </w:rPr>
      </w:pPr>
    </w:p>
    <w:p w14:paraId="7453DC60">
      <w:pPr>
        <w:pStyle w:val="6"/>
        <w:spacing w:before="5"/>
        <w:rPr>
          <w:rFonts w:hint="eastAsia" w:ascii="方正仿宋_GBK" w:hAnsi="方正仿宋_GBK" w:eastAsia="方正仿宋_GBK" w:cs="方正仿宋_GBK"/>
          <w:b/>
          <w:sz w:val="20"/>
        </w:rPr>
      </w:pPr>
    </w:p>
    <w:p w14:paraId="1AF5479D">
      <w:pPr>
        <w:keepNext w:val="0"/>
        <w:keepLines w:val="0"/>
        <w:pageBreakBefore w:val="0"/>
        <w:kinsoku/>
        <w:wordWrap/>
        <w:overflowPunct/>
        <w:topLinePunct w:val="0"/>
        <w:bidi w:val="0"/>
        <w:adjustRightInd/>
        <w:snapToGrid/>
        <w:spacing w:line="576" w:lineRule="exact"/>
        <w:ind w:firstLine="678" w:firstLineChars="211"/>
        <w:textAlignment w:val="auto"/>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lang w:val="en-US"/>
        </w:rPr>
        <w:t>一</w:t>
      </w:r>
      <w:r>
        <w:rPr>
          <w:rFonts w:hint="eastAsia" w:ascii="方正黑体_GBK" w:hAnsi="方正黑体_GBK" w:eastAsia="方正黑体_GBK" w:cs="方正黑体_GBK"/>
          <w:b/>
          <w:sz w:val="32"/>
          <w:szCs w:val="32"/>
        </w:rPr>
        <w:t>、</w:t>
      </w:r>
      <w:r>
        <w:rPr>
          <w:rFonts w:hint="eastAsia" w:ascii="方正黑体_GBK" w:hAnsi="方正黑体_GBK" w:eastAsia="方正黑体_GBK" w:cs="方正黑体_GBK"/>
          <w:b/>
          <w:sz w:val="32"/>
          <w:szCs w:val="32"/>
          <w:lang w:val="en-US"/>
        </w:rPr>
        <w:t>技术服务</w:t>
      </w:r>
      <w:r>
        <w:rPr>
          <w:rFonts w:hint="eastAsia" w:ascii="方正黑体_GBK" w:hAnsi="方正黑体_GBK" w:eastAsia="方正黑体_GBK" w:cs="方正黑体_GBK"/>
          <w:b/>
          <w:sz w:val="32"/>
          <w:szCs w:val="32"/>
        </w:rPr>
        <w:t>范围和内容</w:t>
      </w:r>
    </w:p>
    <w:p w14:paraId="5BE6807D">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运用智慧化管理模式，规范中心开评标全过程、交易服务全场景音视频及档案资料管理工作，补齐现有交易档案存储体系短板，牢牢守住公共资源交易公平公正、全程可溯、安全可控的工作底线，切实防范交易风险、规范交易行为、夯实交易溯源基础（此项目属于信息化建设项目）。</w:t>
      </w:r>
    </w:p>
    <w:p w14:paraId="74D0754D">
      <w:pPr>
        <w:keepNext w:val="0"/>
        <w:keepLines w:val="0"/>
        <w:pageBreakBefore w:val="0"/>
        <w:kinsoku/>
        <w:wordWrap/>
        <w:overflowPunct/>
        <w:topLinePunct w:val="0"/>
        <w:bidi w:val="0"/>
        <w:adjustRightInd/>
        <w:snapToGrid/>
        <w:spacing w:line="576" w:lineRule="exact"/>
        <w:ind w:firstLine="678" w:firstLineChars="211"/>
        <w:textAlignment w:val="auto"/>
        <w:rPr>
          <w:rFonts w:hint="eastAsia" w:ascii="方正黑体_GBK" w:hAnsi="方正黑体_GBK" w:eastAsia="方正黑体_GBK" w:cs="方正黑体_GBK"/>
          <w:b/>
          <w:sz w:val="32"/>
          <w:szCs w:val="32"/>
          <w:lang w:val="en-US"/>
        </w:rPr>
      </w:pPr>
      <w:r>
        <w:rPr>
          <w:rFonts w:hint="eastAsia" w:ascii="方正黑体_GBK" w:hAnsi="方正黑体_GBK" w:eastAsia="方正黑体_GBK" w:cs="方正黑体_GBK"/>
          <w:b/>
          <w:sz w:val="32"/>
          <w:szCs w:val="32"/>
          <w:lang w:val="en-US"/>
        </w:rPr>
        <w:t>二、项目技术服务要求</w:t>
      </w:r>
    </w:p>
    <w:p w14:paraId="0BC3C4E6">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1、项目设计应遵守国家现行的有关法律法规，必须符合造价强制性标准，且标准和内容必须按照本工程项目的有关要求；</w:t>
      </w:r>
    </w:p>
    <w:p w14:paraId="5524527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2、能真实反映采购需求状况，评价准确，数据可靠且经过方案比较和计算。</w:t>
      </w:r>
    </w:p>
    <w:p w14:paraId="10B0B835">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3、应符合国家及行业相关规范并通过相关主管部门审批。</w:t>
      </w:r>
    </w:p>
    <w:p w14:paraId="4BCB23A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4、技术文件的深度，要能满足相应设计服务阶段的设计要求。</w:t>
      </w:r>
    </w:p>
    <w:p w14:paraId="607C0A12">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5、未尽事宜按有关规定执行。</w:t>
      </w:r>
    </w:p>
    <w:p w14:paraId="11B61C9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（一）设计服务原则</w:t>
      </w:r>
    </w:p>
    <w:p w14:paraId="7349E5F5">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（1）协调性原则：设计服务人员应全面掌握该项目所处位置和细节，以及相邻项目的风格，在整个项目进程中充分考虑大环境的协调性；</w:t>
      </w:r>
    </w:p>
    <w:p w14:paraId="6AE69EB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（2）经济性原则：各阶段工作应充分挖掘当地的相关资料以及当地的现有的施工技术；采用节能、环保、经济的技术；</w:t>
      </w:r>
    </w:p>
    <w:p w14:paraId="48672582">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（3）新技术原则：各阶段工作应考虑采用适当的新技术、新工艺、新材料；</w:t>
      </w:r>
    </w:p>
    <w:p w14:paraId="62CE267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（二）各阶段工作规范的要求</w:t>
      </w:r>
    </w:p>
    <w:p w14:paraId="2B64014B">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各阶段工作文件满足国家和地方性法规和规范的要求，并通过相关主管部门评审。</w:t>
      </w:r>
    </w:p>
    <w:p w14:paraId="27660A4D">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（三）深度要求</w:t>
      </w:r>
    </w:p>
    <w:p w14:paraId="2671457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应符合国家有关法律法规和现行设计标准规范规定的深度要求，并通过相关主管部门的评审。</w:t>
      </w:r>
    </w:p>
    <w:p w14:paraId="2611C03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三、其他重要说明</w:t>
      </w:r>
    </w:p>
    <w:p w14:paraId="43C3A22D">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1.本项目各阶段工作成果文件的所有版权属于采购人所有。采购人应保护投标单位的知识产权，不得向第三人泄露、转让投标申请文件有关内容。</w:t>
      </w:r>
    </w:p>
    <w:p w14:paraId="1BED229E">
      <w:pPr>
        <w:keepNext w:val="0"/>
        <w:keepLines w:val="0"/>
        <w:pageBreakBefore w:val="0"/>
        <w:kinsoku/>
        <w:wordWrap/>
        <w:overflowPunct/>
        <w:topLinePunct w:val="0"/>
        <w:bidi w:val="0"/>
        <w:adjustRightInd/>
        <w:snapToGrid/>
        <w:spacing w:line="576" w:lineRule="exact"/>
        <w:ind w:firstLine="678" w:firstLineChars="211"/>
        <w:textAlignment w:val="auto"/>
        <w:rPr>
          <w:rFonts w:hint="eastAsia" w:ascii="方正黑体_GBK" w:hAnsi="方正黑体_GBK" w:eastAsia="方正黑体_GBK" w:cs="方正黑体_GBK"/>
          <w:b/>
          <w:sz w:val="32"/>
          <w:szCs w:val="32"/>
          <w:lang w:val="en-US" w:eastAsia="zh-CN"/>
        </w:rPr>
      </w:pPr>
      <w:r>
        <w:rPr>
          <w:rFonts w:hint="eastAsia" w:ascii="方正黑体_GBK" w:hAnsi="方正黑体_GBK" w:eastAsia="方正黑体_GBK" w:cs="方正黑体_GBK"/>
          <w:b/>
          <w:sz w:val="32"/>
          <w:szCs w:val="32"/>
          <w:lang w:val="en-US" w:eastAsia="zh-CN"/>
        </w:rPr>
        <w:t>四、最高限价</w:t>
      </w:r>
    </w:p>
    <w:p w14:paraId="43C09360">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本项目最高限价：本项目按照投标报价的下浮率计算。</w:t>
      </w:r>
    </w:p>
    <w:p w14:paraId="53AB8FE1">
      <w:pPr>
        <w:keepNext w:val="0"/>
        <w:keepLines w:val="0"/>
        <w:pageBreakBefore w:val="0"/>
        <w:kinsoku/>
        <w:wordWrap/>
        <w:overflowPunct/>
        <w:topLinePunct w:val="0"/>
        <w:bidi w:val="0"/>
        <w:adjustRightInd/>
        <w:snapToGrid/>
        <w:spacing w:line="576" w:lineRule="exact"/>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667D78FB">
      <w:pP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br w:type="page"/>
      </w:r>
    </w:p>
    <w:p w14:paraId="7BD9F242">
      <w:pPr>
        <w:rPr>
          <w:rFonts w:hint="eastAsia" w:ascii="方正仿宋_GBK" w:hAnsi="方正仿宋_GBK" w:eastAsia="方正仿宋_GBK" w:cs="方正仿宋_GBK"/>
          <w:sz w:val="24"/>
        </w:rPr>
      </w:pPr>
    </w:p>
    <w:p w14:paraId="5B200976">
      <w:pPr>
        <w:keepNext w:val="0"/>
        <w:keepLines w:val="0"/>
        <w:pageBreakBefore w:val="0"/>
        <w:kinsoku/>
        <w:wordWrap/>
        <w:overflowPunct/>
        <w:topLinePunct w:val="0"/>
        <w:autoSpaceDE w:val="0"/>
        <w:autoSpaceDN w:val="0"/>
        <w:bidi w:val="0"/>
        <w:adjustRightInd/>
        <w:snapToGrid/>
        <w:spacing w:afterAutospacing="0" w:line="576" w:lineRule="exac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lang w:eastAsia="zh-CN"/>
        </w:rPr>
        <w:t>第二章</w:t>
      </w:r>
      <w:r>
        <w:rPr>
          <w:rFonts w:hint="eastAsia" w:ascii="方正小标宋_GBK" w:hAnsi="方正小标宋_GBK" w:eastAsia="方正小标宋_GBK" w:cs="方正小标宋_GBK"/>
          <w:b/>
          <w:bCs/>
          <w:sz w:val="44"/>
          <w:szCs w:val="44"/>
          <w:lang w:val="en-US" w:eastAsia="zh-CN"/>
        </w:rPr>
        <w:t xml:space="preserve">   </w:t>
      </w:r>
      <w:r>
        <w:rPr>
          <w:rFonts w:hint="eastAsia" w:ascii="方正小标宋_GBK" w:hAnsi="方正小标宋_GBK" w:eastAsia="方正小标宋_GBK" w:cs="方正小标宋_GBK"/>
          <w:b/>
          <w:bCs/>
          <w:sz w:val="44"/>
          <w:szCs w:val="44"/>
          <w:lang w:eastAsia="zh-CN"/>
        </w:rPr>
        <w:t>采购需求</w:t>
      </w:r>
    </w:p>
    <w:p w14:paraId="696EB9C7">
      <w:pPr>
        <w:keepNext w:val="0"/>
        <w:keepLines w:val="0"/>
        <w:pageBreakBefore w:val="0"/>
        <w:widowControl/>
        <w:suppressLineNumbers w:val="0"/>
        <w:kinsoku/>
        <w:wordWrap/>
        <w:overflowPunct/>
        <w:topLinePunct w:val="0"/>
        <w:autoSpaceDE/>
        <w:autoSpaceDN/>
        <w:bidi w:val="0"/>
        <w:adjustRightInd/>
        <w:snapToGrid/>
        <w:spacing w:beforeAutospacing="0" w:afterAutospacing="0" w:line="570" w:lineRule="exact"/>
        <w:ind w:firstLine="640" w:firstLineChars="200"/>
        <w:jc w:val="both"/>
        <w:textAlignment w:val="auto"/>
        <w:rPr>
          <w:rFonts w:hint="eastAsia" w:ascii="仿宋" w:hAnsi="仿宋" w:eastAsia="仿宋" w:cs="仿宋"/>
          <w:kern w:val="0"/>
          <w:sz w:val="32"/>
          <w:szCs w:val="32"/>
          <w:lang w:val="en-US" w:eastAsia="zh-CN" w:bidi="ar"/>
        </w:rPr>
      </w:pPr>
      <w:bookmarkStart w:id="1" w:name="_Toc28259"/>
    </w:p>
    <w:p w14:paraId="3954D8B8">
      <w:pPr>
        <w:keepNext w:val="0"/>
        <w:keepLines w:val="0"/>
        <w:pageBreakBefore w:val="0"/>
        <w:widowControl/>
        <w:suppressLineNumbers w:val="0"/>
        <w:kinsoku/>
        <w:wordWrap/>
        <w:overflowPunct/>
        <w:topLinePunct w:val="0"/>
        <w:autoSpaceDE w:val="0"/>
        <w:autoSpaceDN w:val="0"/>
        <w:bidi w:val="0"/>
        <w:adjustRightInd/>
        <w:snapToGrid/>
        <w:spacing w:afterAutospacing="0" w:line="576" w:lineRule="exact"/>
        <w:ind w:firstLine="640" w:firstLineChars="200"/>
        <w:jc w:val="left"/>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一、项目需求</w:t>
      </w:r>
    </w:p>
    <w:p w14:paraId="6F8A2189">
      <w:pPr>
        <w:keepNext w:val="0"/>
        <w:keepLines w:val="0"/>
        <w:pageBreakBefore w:val="0"/>
        <w:widowControl/>
        <w:suppressLineNumbers w:val="0"/>
        <w:kinsoku/>
        <w:wordWrap/>
        <w:overflowPunct/>
        <w:topLinePunct w:val="0"/>
        <w:autoSpaceDE/>
        <w:autoSpaceDN/>
        <w:bidi w:val="0"/>
        <w:adjustRightInd/>
        <w:snapToGrid/>
        <w:spacing w:beforeAutospacing="0" w:afterAutospacing="0" w:line="57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本次建设坚持“合规规范、安全可控、高效便捷、长效运维”的总体原则，全面升级迭代存储软硬件设备、统一技术标准、健全管理机制、打通数据壁垒，构建标准化、智能化、安全化的交易资料存储管理体系，具体建设内容如下：</w:t>
      </w:r>
    </w:p>
    <w:p w14:paraId="156CB64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仿宋" w:hAnsi="仿宋" w:eastAsia="仿宋" w:cs="仿宋"/>
          <w:b w:val="0"/>
          <w:bCs w:val="0"/>
          <w:sz w:val="32"/>
          <w:szCs w:val="32"/>
        </w:rPr>
      </w:pPr>
      <w:r>
        <w:rPr>
          <w:rFonts w:hint="eastAsia" w:ascii="仿宋" w:hAnsi="仿宋" w:eastAsia="仿宋" w:cs="仿宋"/>
          <w:sz w:val="32"/>
          <w:szCs w:val="32"/>
        </w:rPr>
        <w:t>（一）升级改造存储硬件设备</w:t>
      </w:r>
      <w:r>
        <w:rPr>
          <w:rFonts w:hint="eastAsia" w:ascii="仿宋" w:hAnsi="仿宋" w:eastAsia="仿宋" w:cs="仿宋"/>
          <w:sz w:val="32"/>
          <w:szCs w:val="32"/>
          <w:lang w:eastAsia="zh-CN"/>
        </w:rPr>
        <w:t>。</w:t>
      </w:r>
      <w:r>
        <w:rPr>
          <w:rFonts w:hint="eastAsia" w:ascii="仿宋" w:hAnsi="仿宋" w:eastAsia="仿宋" w:cs="仿宋"/>
          <w:b w:val="0"/>
          <w:bCs w:val="0"/>
          <w:kern w:val="0"/>
          <w:sz w:val="32"/>
          <w:szCs w:val="32"/>
          <w:lang w:val="en-US" w:eastAsia="zh-CN" w:bidi="ar"/>
        </w:rPr>
        <w:t>自主搭建市本级专属高性能存储架构，配置专业存储服务器、工业级硬盘录像机及大容量企业级存储硬盘，优化机房硬件布局与线路架构。针对开标区、评标区、交易大厅、公共通道、监控机房等核心区域高清监控设备，全面适配升级配套存储硬件，彻底解决设备老旧、性能不足等问题，保障全场景音视频资料高清录制、稳定存储、顺畅调取，杜绝断录、漏录、画面失真、下载失败等问题，实现交易全场景、全时段、全覆盖资料留存。</w:t>
      </w:r>
    </w:p>
    <w:p w14:paraId="2AC439F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（二）统一规范存储技术标准</w:t>
      </w:r>
      <w:r>
        <w:rPr>
          <w:rFonts w:hint="eastAsia" w:ascii="仿宋" w:hAnsi="仿宋" w:eastAsia="仿宋" w:cs="仿宋"/>
          <w:sz w:val="32"/>
          <w:szCs w:val="32"/>
          <w:lang w:eastAsia="zh-CN"/>
        </w:rPr>
        <w:t>。</w:t>
      </w:r>
      <w:r>
        <w:rPr>
          <w:rFonts w:hint="eastAsia" w:ascii="仿宋" w:hAnsi="仿宋" w:eastAsia="仿宋" w:cs="仿宋"/>
          <w:b w:val="0"/>
          <w:bCs w:val="0"/>
          <w:kern w:val="0"/>
          <w:sz w:val="32"/>
          <w:szCs w:val="32"/>
          <w:lang w:val="en-US" w:eastAsia="zh-CN" w:bidi="ar"/>
        </w:rPr>
        <w:t>严格对标公共资源交易音视频资料管理行业规范，统一全中心音视频资料存储格式、分辨率、码率等核心技术参数，全部采用行业通用标准格式，全面提升存储文件的兼容性、完整性和清晰度。同步规范资料命名规则、分类归档标准，严格按照“交易项目、场地区域、时间节点”实行精细化分类管理，刚性落实“一标一档”归档要求，实现交易资料标准化归集、规范化管理。</w:t>
      </w:r>
    </w:p>
    <w:p w14:paraId="1594C75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仿宋" w:hAnsi="仿宋" w:eastAsia="仿宋" w:cs="仿宋"/>
          <w:b w:val="0"/>
          <w:bCs w:val="0"/>
          <w:sz w:val="32"/>
          <w:szCs w:val="32"/>
        </w:rPr>
      </w:pPr>
      <w:r>
        <w:rPr>
          <w:rFonts w:hint="eastAsia" w:ascii="仿宋" w:hAnsi="仿宋" w:eastAsia="仿宋" w:cs="仿宋"/>
          <w:sz w:val="32"/>
          <w:szCs w:val="32"/>
        </w:rPr>
        <w:t>（三）搭建多重安全备份存储体系</w:t>
      </w:r>
      <w:r>
        <w:rPr>
          <w:rFonts w:hint="eastAsia" w:ascii="仿宋" w:hAnsi="仿宋" w:eastAsia="仿宋" w:cs="仿宋"/>
          <w:sz w:val="32"/>
          <w:szCs w:val="32"/>
          <w:lang w:eastAsia="zh-CN"/>
        </w:rPr>
        <w:t>。</w:t>
      </w:r>
      <w:r>
        <w:rPr>
          <w:rFonts w:hint="eastAsia" w:ascii="仿宋" w:hAnsi="仿宋" w:eastAsia="仿宋" w:cs="仿宋"/>
          <w:b w:val="0"/>
          <w:bCs w:val="0"/>
          <w:kern w:val="0"/>
          <w:sz w:val="32"/>
          <w:szCs w:val="32"/>
          <w:lang w:val="en-US" w:eastAsia="zh-CN" w:bidi="ar"/>
        </w:rPr>
        <w:t>构建“代理实时存储+云端增量备份+介质专项归档”三重安全存储备份机制，本地设备常态化存储实时监控及交易资料，云端服务器同步备份各类开评标核心资料，严格执行一式两套备份标准，全方位规避数据丢失、损坏、篡改风险。同步扩容升级存储容量，将交易音视频及档案资料留存时长提升至行业合规标准，充分满足长期溯源、核查取证工作需求。</w:t>
      </w:r>
    </w:p>
    <w:p w14:paraId="0DA0D72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3"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sz w:val="32"/>
          <w:szCs w:val="32"/>
        </w:rPr>
        <w:t>（四）打通多系统数据对接壁垒</w:t>
      </w:r>
      <w:r>
        <w:rPr>
          <w:rFonts w:hint="eastAsia" w:ascii="仿宋" w:hAnsi="仿宋" w:eastAsia="仿宋" w:cs="仿宋"/>
          <w:sz w:val="32"/>
          <w:szCs w:val="32"/>
          <w:lang w:eastAsia="zh-CN"/>
        </w:rPr>
        <w:t>。</w:t>
      </w:r>
      <w:r>
        <w:rPr>
          <w:rFonts w:hint="eastAsia" w:ascii="仿宋" w:hAnsi="仿宋" w:eastAsia="仿宋" w:cs="仿宋"/>
          <w:b w:val="0"/>
          <w:bCs w:val="0"/>
          <w:kern w:val="0"/>
          <w:sz w:val="32"/>
          <w:szCs w:val="32"/>
          <w:lang w:val="en-US" w:eastAsia="zh-CN" w:bidi="ar"/>
        </w:rPr>
        <w:t>优化升级存储系统整体架构，推动存储管理系统与公共资源交易业务系统、电子档案管理系统、交易监督见证系统深度融合、无缝对接，实现交易资料自动归档、智能检索、快速调取、在线核查，大幅提升交易资料归档、溯源、核查、监管工作效率，助力公共资源交易全流程数字化、智能化闭环监管。</w:t>
      </w:r>
    </w:p>
    <w:p w14:paraId="0820735F">
      <w:pPr>
        <w:rPr>
          <w:rFonts w:hint="default"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 xml:space="preserve">    </w:t>
      </w:r>
      <w:r>
        <w:rPr>
          <w:rFonts w:hint="eastAsia" w:ascii="仿宋" w:hAnsi="仿宋" w:eastAsia="仿宋" w:cs="仿宋"/>
          <w:b/>
          <w:bCs/>
          <w:kern w:val="0"/>
          <w:sz w:val="32"/>
          <w:szCs w:val="32"/>
          <w:lang w:val="en-US" w:eastAsia="zh-CN" w:bidi="ar"/>
        </w:rPr>
        <w:t>（五）按照国家关于公共资源交易资料规范化存储规定其他事项。</w:t>
      </w:r>
    </w:p>
    <w:p w14:paraId="080C00BA">
      <w:pPr>
        <w:keepNext w:val="0"/>
        <w:keepLines w:val="0"/>
        <w:pageBreakBefore w:val="0"/>
        <w:widowControl/>
        <w:suppressLineNumbers w:val="0"/>
        <w:kinsoku/>
        <w:wordWrap/>
        <w:overflowPunct/>
        <w:topLinePunct w:val="0"/>
        <w:autoSpaceDE w:val="0"/>
        <w:autoSpaceDN w:val="0"/>
        <w:bidi w:val="0"/>
        <w:adjustRightInd/>
        <w:snapToGrid/>
        <w:spacing w:afterAutospacing="0" w:line="576"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、服务成果交付要求</w:t>
      </w:r>
    </w:p>
    <w:p w14:paraId="2B905AA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进场服务30日内提交针对性的公共资源交易资料规范化存储设计实施方案，明确设计范围、设计流程、工作进度、项目概算及工作举措。服务期满后，提交设计方案和设计概算。</w:t>
      </w:r>
    </w:p>
    <w:p w14:paraId="5C1C3C9F">
      <w:pPr>
        <w:keepNext w:val="0"/>
        <w:keepLines w:val="0"/>
        <w:pageBreakBefore w:val="0"/>
        <w:widowControl/>
        <w:suppressLineNumbers w:val="0"/>
        <w:kinsoku/>
        <w:wordWrap/>
        <w:overflowPunct/>
        <w:topLinePunct w:val="0"/>
        <w:autoSpaceDE w:val="0"/>
        <w:autoSpaceDN w:val="0"/>
        <w:bidi w:val="0"/>
        <w:adjustRightInd/>
        <w:snapToGrid/>
        <w:spacing w:afterAutospacing="0" w:line="576"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、服务期限</w:t>
      </w:r>
    </w:p>
    <w:p w14:paraId="0FD9C42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本项目服务期限为自合同签订之日起至全面完成设计工作，设计服务商需在合同约定周期内完成全部设计工作及成果交付；如需配合采购人完成后续整改复核、资料补充、专项核查等工作，需免费提供后续配套服务。</w:t>
      </w:r>
    </w:p>
    <w:p w14:paraId="137037C9">
      <w:pPr>
        <w:keepNext w:val="0"/>
        <w:keepLines w:val="0"/>
        <w:pageBreakBefore w:val="0"/>
        <w:widowControl/>
        <w:suppressLineNumbers w:val="0"/>
        <w:kinsoku/>
        <w:wordWrap/>
        <w:overflowPunct/>
        <w:topLinePunct w:val="0"/>
        <w:autoSpaceDE w:val="0"/>
        <w:autoSpaceDN w:val="0"/>
        <w:bidi w:val="0"/>
        <w:adjustRightInd/>
        <w:snapToGrid/>
        <w:spacing w:afterAutospacing="0" w:line="576"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、验收标准</w:t>
      </w:r>
    </w:p>
    <w:p w14:paraId="5153781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 设计服务商完整履行合同约定的全部设计服务内容，设计流程规范、合法，无违规操作。</w:t>
      </w:r>
    </w:p>
    <w:p w14:paraId="24EE6BF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2. 交付的各类设计成果文件完整、规范、真实、准确，内容全面覆盖采购需求所有设计要点，格式符合采购人要求。</w:t>
      </w:r>
    </w:p>
    <w:p w14:paraId="4507304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3. 设计内容全面，无重大遗漏事项，设计分析精准，设计方案具备可落地性、针对性。</w:t>
      </w:r>
    </w:p>
    <w:p w14:paraId="01E412A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4. 全程服务响应及时、配合到位，圆满完成各项设计及配套服务工作，无投诉、无工作失误、无违规违纪行为。</w:t>
      </w:r>
    </w:p>
    <w:p w14:paraId="10C19E3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5. 所有问题整改闭环到位，形成完善的管理优化成果，达到采购人风险防控、规范管理、提质增效的设计目标。</w:t>
      </w:r>
    </w:p>
    <w:p w14:paraId="639E7002">
      <w:pPr>
        <w:keepNext w:val="0"/>
        <w:keepLines w:val="0"/>
        <w:pageBreakBefore w:val="0"/>
        <w:widowControl/>
        <w:suppressLineNumbers w:val="0"/>
        <w:kinsoku/>
        <w:wordWrap/>
        <w:overflowPunct/>
        <w:topLinePunct w:val="0"/>
        <w:autoSpaceDE w:val="0"/>
        <w:autoSpaceDN w:val="0"/>
        <w:bidi w:val="0"/>
        <w:adjustRightInd/>
        <w:snapToGrid/>
        <w:spacing w:afterAutospacing="0" w:line="576"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、其他要求</w:t>
      </w:r>
    </w:p>
    <w:p w14:paraId="57AF1B8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 本项目为包干总价，包含人员服务费、差旅费、资料费、成果编制费、税费、后续配套服务费等所有相关费用，采购人无需额外支付其他费用。</w:t>
      </w:r>
    </w:p>
    <w:p w14:paraId="423383E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2. 设计服务商不得转包、分包本项目服务，一经发现，采购人有权单方面解除合同、不予支付款项，并追究相关违约责任。</w:t>
      </w:r>
    </w:p>
    <w:p w14:paraId="4218571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3. 若因设计服务商设计失误、漏项、错审、资料造假等问题导致采购人产生损失、合规风险或上级追责，由设计服务商承担全部责任，并无偿整改修复，同时承担相应赔偿责任。</w:t>
      </w:r>
    </w:p>
    <w:p w14:paraId="5FDE696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0" w:lineRule="exact"/>
        <w:ind w:firstLine="640" w:firstLineChars="200"/>
        <w:jc w:val="both"/>
        <w:textAlignment w:val="auto"/>
        <w:rPr>
          <w:rFonts w:hint="default"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4.设计取费参照《工程勘察设计收费导则（第二版）》信息化工程类计费标准执行。</w:t>
      </w:r>
    </w:p>
    <w:p w14:paraId="47984EC7">
      <w:pPr>
        <w:pStyle w:val="2"/>
        <w:tabs>
          <w:tab w:val="left" w:pos="4792"/>
        </w:tabs>
        <w:ind w:right="0"/>
        <w:jc w:val="left"/>
        <w:rPr>
          <w:rFonts w:hint="eastAsia" w:ascii="方正仿宋_GBK" w:hAnsi="方正仿宋_GBK" w:eastAsia="方正仿宋_GBK" w:cs="方正仿宋_GBK"/>
        </w:rPr>
      </w:pPr>
    </w:p>
    <w:p w14:paraId="18BC0A00">
      <w:pPr>
        <w:rPr>
          <w:rFonts w:hint="eastAsia" w:ascii="方正仿宋_GBK" w:hAnsi="方正仿宋_GBK" w:eastAsia="方正仿宋_GBK" w:cs="方正仿宋_GBK"/>
        </w:rPr>
      </w:pPr>
    </w:p>
    <w:p w14:paraId="04876681">
      <w:pPr>
        <w:rPr>
          <w:rFonts w:hint="eastAsia" w:ascii="方正仿宋_GBK" w:hAnsi="方正仿宋_GBK" w:eastAsia="方正仿宋_GBK" w:cs="方正仿宋_GBK"/>
        </w:rPr>
      </w:pPr>
    </w:p>
    <w:p w14:paraId="23A5BE0C">
      <w:pPr>
        <w:rPr>
          <w:rFonts w:hint="eastAsia" w:ascii="方正仿宋_GBK" w:hAnsi="方正仿宋_GBK" w:eastAsia="方正仿宋_GBK" w:cs="方正仿宋_GBK"/>
        </w:rPr>
      </w:pPr>
    </w:p>
    <w:p w14:paraId="42A57EAD">
      <w:pPr>
        <w:rPr>
          <w:rFonts w:hint="eastAsia" w:ascii="方正仿宋_GBK" w:hAnsi="方正仿宋_GBK" w:eastAsia="方正仿宋_GBK" w:cs="方正仿宋_GBK"/>
        </w:rPr>
      </w:pPr>
    </w:p>
    <w:p w14:paraId="6037E3C2">
      <w:pPr>
        <w:rPr>
          <w:rFonts w:hint="eastAsia" w:ascii="方正仿宋_GBK" w:hAnsi="方正仿宋_GBK" w:eastAsia="方正仿宋_GBK" w:cs="方正仿宋_GBK"/>
        </w:rPr>
      </w:pPr>
    </w:p>
    <w:p w14:paraId="57BF55DD">
      <w:pPr>
        <w:rPr>
          <w:rFonts w:hint="eastAsia" w:ascii="方正仿宋_GBK" w:hAnsi="方正仿宋_GBK" w:eastAsia="方正仿宋_GBK" w:cs="方正仿宋_GBK"/>
        </w:rPr>
      </w:pPr>
    </w:p>
    <w:p w14:paraId="0B741209">
      <w:pPr>
        <w:rPr>
          <w:rFonts w:hint="eastAsia" w:ascii="方正仿宋_GBK" w:hAnsi="方正仿宋_GBK" w:eastAsia="方正仿宋_GBK" w:cs="方正仿宋_GBK"/>
        </w:rPr>
      </w:pPr>
    </w:p>
    <w:p w14:paraId="5EB7EBC4">
      <w:pPr>
        <w:rPr>
          <w:rFonts w:hint="eastAsia" w:ascii="方正仿宋_GBK" w:hAnsi="方正仿宋_GBK" w:eastAsia="方正仿宋_GBK" w:cs="方正仿宋_GBK"/>
        </w:rPr>
      </w:pPr>
    </w:p>
    <w:p w14:paraId="7FF430DF">
      <w:pPr>
        <w:rPr>
          <w:rFonts w:hint="eastAsia" w:ascii="方正仿宋_GBK" w:hAnsi="方正仿宋_GBK" w:eastAsia="方正仿宋_GBK" w:cs="方正仿宋_GBK"/>
        </w:rPr>
      </w:pPr>
    </w:p>
    <w:p w14:paraId="6513B460">
      <w:pPr>
        <w:rPr>
          <w:rFonts w:hint="eastAsia" w:ascii="方正仿宋_GBK" w:hAnsi="方正仿宋_GBK" w:eastAsia="方正仿宋_GBK" w:cs="方正仿宋_GBK"/>
        </w:rPr>
      </w:pPr>
    </w:p>
    <w:p w14:paraId="20276220">
      <w:pPr>
        <w:rPr>
          <w:rFonts w:hint="eastAsia" w:ascii="方正仿宋_GBK" w:hAnsi="方正仿宋_GBK" w:eastAsia="方正仿宋_GBK" w:cs="方正仿宋_GBK"/>
        </w:rPr>
      </w:pPr>
    </w:p>
    <w:p w14:paraId="35FC0477">
      <w:pPr>
        <w:rPr>
          <w:rFonts w:hint="eastAsia" w:ascii="方正仿宋_GBK" w:hAnsi="方正仿宋_GBK" w:eastAsia="方正仿宋_GBK" w:cs="方正仿宋_GBK"/>
        </w:rPr>
      </w:pPr>
    </w:p>
    <w:p w14:paraId="13A955A3">
      <w:pPr>
        <w:rPr>
          <w:rFonts w:hint="eastAsia" w:ascii="方正仿宋_GBK" w:hAnsi="方正仿宋_GBK" w:eastAsia="方正仿宋_GBK" w:cs="方正仿宋_GBK"/>
        </w:rPr>
      </w:pPr>
    </w:p>
    <w:p w14:paraId="505098FD">
      <w:pPr>
        <w:rPr>
          <w:rFonts w:hint="eastAsia" w:ascii="方正仿宋_GBK" w:hAnsi="方正仿宋_GBK" w:eastAsia="方正仿宋_GBK" w:cs="方正仿宋_GBK"/>
        </w:rPr>
      </w:pPr>
    </w:p>
    <w:p w14:paraId="0F572876">
      <w:pPr>
        <w:rPr>
          <w:rFonts w:hint="eastAsia" w:ascii="方正仿宋_GBK" w:hAnsi="方正仿宋_GBK" w:eastAsia="方正仿宋_GBK" w:cs="方正仿宋_GBK"/>
        </w:rPr>
      </w:pPr>
    </w:p>
    <w:p w14:paraId="4E71853A">
      <w:pPr>
        <w:pStyle w:val="2"/>
        <w:tabs>
          <w:tab w:val="left" w:pos="4792"/>
        </w:tabs>
        <w:ind w:left="3348" w:right="0"/>
        <w:jc w:val="left"/>
        <w:rPr>
          <w:rFonts w:hint="eastAsia" w:ascii="方正仿宋_GBK" w:hAnsi="方正仿宋_GBK" w:eastAsia="方正仿宋_GBK" w:cs="方正仿宋_GBK"/>
        </w:rPr>
      </w:pPr>
    </w:p>
    <w:p w14:paraId="2ACBA4CF">
      <w:pPr>
        <w:pStyle w:val="2"/>
        <w:tabs>
          <w:tab w:val="left" w:pos="4792"/>
        </w:tabs>
        <w:ind w:left="3348" w:right="0"/>
        <w:jc w:val="left"/>
        <w:rPr>
          <w:rFonts w:hint="eastAsia" w:ascii="方正仿宋_GBK" w:hAnsi="方正仿宋_GBK" w:eastAsia="方正仿宋_GBK" w:cs="方正仿宋_GBK"/>
        </w:rPr>
      </w:pPr>
    </w:p>
    <w:p w14:paraId="469EC3BC">
      <w:pPr>
        <w:pStyle w:val="2"/>
        <w:tabs>
          <w:tab w:val="left" w:pos="4792"/>
        </w:tabs>
        <w:ind w:left="3348" w:right="0"/>
        <w:jc w:val="left"/>
        <w:rPr>
          <w:rFonts w:hint="eastAsia" w:ascii="方正仿宋_GBK" w:hAnsi="方正仿宋_GBK" w:eastAsia="方正仿宋_GBK" w:cs="方正仿宋_GBK"/>
        </w:rPr>
      </w:pPr>
      <w:r>
        <w:rPr>
          <w:rFonts w:hint="eastAsia" w:ascii="方正仿宋_GBK" w:hAnsi="方正仿宋_GBK" w:eastAsia="方正仿宋_GBK" w:cs="方正仿宋_GBK"/>
        </w:rPr>
        <w:t>第</w:t>
      </w:r>
      <w:r>
        <w:rPr>
          <w:rFonts w:hint="eastAsia" w:ascii="方正仿宋_GBK" w:hAnsi="方正仿宋_GBK" w:eastAsia="方正仿宋_GBK" w:cs="方正仿宋_GBK"/>
          <w:lang w:val="en-US" w:eastAsia="zh-CN"/>
        </w:rPr>
        <w:t>三</w:t>
      </w:r>
      <w:r>
        <w:rPr>
          <w:rFonts w:hint="eastAsia" w:ascii="方正仿宋_GBK" w:hAnsi="方正仿宋_GBK" w:eastAsia="方正仿宋_GBK" w:cs="方正仿宋_GBK"/>
        </w:rPr>
        <w:t>章</w:t>
      </w:r>
      <w:r>
        <w:rPr>
          <w:rFonts w:hint="eastAsia" w:ascii="方正仿宋_GBK" w:hAnsi="方正仿宋_GBK" w:eastAsia="方正仿宋_GBK" w:cs="方正仿宋_GBK"/>
        </w:rPr>
        <w:tab/>
      </w:r>
      <w:r>
        <w:rPr>
          <w:rFonts w:hint="eastAsia" w:ascii="方正仿宋_GBK" w:hAnsi="方正仿宋_GBK" w:eastAsia="方正仿宋_GBK" w:cs="方正仿宋_GBK"/>
        </w:rPr>
        <w:t>评审办法</w:t>
      </w:r>
      <w:bookmarkEnd w:id="1"/>
    </w:p>
    <w:p w14:paraId="1BB349C2">
      <w:pPr>
        <w:pStyle w:val="6"/>
        <w:spacing w:before="7"/>
        <w:rPr>
          <w:rFonts w:hint="eastAsia" w:ascii="方正仿宋_GBK" w:hAnsi="方正仿宋_GBK" w:eastAsia="方正仿宋_GBK" w:cs="方正仿宋_GBK"/>
          <w:sz w:val="9"/>
        </w:rPr>
      </w:pPr>
      <w:bookmarkStart w:id="2" w:name="1._总则"/>
      <w:bookmarkEnd w:id="2"/>
    </w:p>
    <w:p w14:paraId="0E966D24">
      <w:pPr>
        <w:spacing w:line="360" w:lineRule="auto"/>
        <w:rPr>
          <w:rFonts w:hint="eastAsia" w:ascii="方正仿宋_GBK" w:hAnsi="方正仿宋_GBK" w:eastAsia="方正仿宋_GBK" w:cs="方正仿宋_GBK"/>
          <w:b/>
          <w:bCs/>
          <w:sz w:val="24"/>
        </w:rPr>
      </w:pPr>
    </w:p>
    <w:p w14:paraId="594B28C4">
      <w:pP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资格审查标准见下表：</w:t>
      </w:r>
    </w:p>
    <w:p w14:paraId="1AF00947">
      <w:pPr>
        <w:rPr>
          <w:rFonts w:hint="eastAsia" w:ascii="方正仿宋_GBK" w:hAnsi="方正仿宋_GBK" w:eastAsia="方正仿宋_GBK" w:cs="方正仿宋_GBK"/>
          <w:b/>
          <w:bCs/>
          <w:sz w:val="28"/>
          <w:szCs w:val="28"/>
        </w:rPr>
      </w:pPr>
    </w:p>
    <w:tbl>
      <w:tblPr>
        <w:tblStyle w:val="11"/>
        <w:tblW w:w="4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3731"/>
        <w:gridCol w:w="5997"/>
      </w:tblGrid>
      <w:tr w14:paraId="47A3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7" w:type="dxa"/>
            <w:vAlign w:val="center"/>
          </w:tcPr>
          <w:p w14:paraId="6C48D8E2">
            <w:pPr>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序号</w:t>
            </w:r>
          </w:p>
        </w:tc>
        <w:tc>
          <w:tcPr>
            <w:tcW w:w="3731" w:type="dxa"/>
            <w:vAlign w:val="center"/>
          </w:tcPr>
          <w:p w14:paraId="53ED77EB">
            <w:pPr>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资格性审查项</w:t>
            </w:r>
          </w:p>
        </w:tc>
        <w:tc>
          <w:tcPr>
            <w:tcW w:w="5997" w:type="dxa"/>
            <w:vAlign w:val="center"/>
          </w:tcPr>
          <w:p w14:paraId="503A8B11">
            <w:pPr>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通过条件</w:t>
            </w:r>
          </w:p>
        </w:tc>
      </w:tr>
      <w:tr w14:paraId="4B49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97" w:type="dxa"/>
            <w:vAlign w:val="center"/>
          </w:tcPr>
          <w:p w14:paraId="5988264E">
            <w:pPr>
              <w:spacing w:line="360" w:lineRule="auto"/>
              <w:jc w:val="center"/>
              <w:rPr>
                <w:rFonts w:hint="eastAsia" w:ascii="仿宋" w:hAnsi="仿宋" w:eastAsia="仿宋" w:cs="仿宋"/>
                <w:bCs/>
                <w:sz w:val="28"/>
                <w:szCs w:val="28"/>
              </w:rPr>
            </w:pPr>
            <w:r>
              <w:rPr>
                <w:rFonts w:hint="eastAsia" w:ascii="仿宋" w:hAnsi="仿宋" w:eastAsia="仿宋" w:cs="仿宋"/>
                <w:sz w:val="28"/>
                <w:szCs w:val="28"/>
              </w:rPr>
              <w:t>1</w:t>
            </w:r>
          </w:p>
        </w:tc>
        <w:tc>
          <w:tcPr>
            <w:tcW w:w="3731" w:type="dxa"/>
            <w:vAlign w:val="center"/>
          </w:tcPr>
          <w:p w14:paraId="56F7E1E4">
            <w:pPr>
              <w:rPr>
                <w:rFonts w:hint="eastAsia" w:ascii="仿宋" w:hAnsi="仿宋" w:eastAsia="仿宋" w:cs="仿宋"/>
                <w:sz w:val="28"/>
                <w:szCs w:val="28"/>
              </w:rPr>
            </w:pPr>
            <w:r>
              <w:rPr>
                <w:rFonts w:hint="eastAsia" w:ascii="仿宋" w:hAnsi="仿宋" w:eastAsia="仿宋" w:cs="仿宋"/>
                <w:bCs/>
                <w:sz w:val="28"/>
                <w:szCs w:val="28"/>
              </w:rPr>
              <w:t>具有独立承担民事责任的能力</w:t>
            </w:r>
          </w:p>
        </w:tc>
        <w:tc>
          <w:tcPr>
            <w:tcW w:w="5997" w:type="dxa"/>
            <w:vAlign w:val="center"/>
          </w:tcPr>
          <w:p w14:paraId="66E13C25">
            <w:pPr>
              <w:rPr>
                <w:rFonts w:hint="eastAsia" w:ascii="仿宋" w:hAnsi="仿宋" w:eastAsia="仿宋" w:cs="仿宋"/>
                <w:sz w:val="28"/>
                <w:szCs w:val="28"/>
              </w:rPr>
            </w:pPr>
            <w:r>
              <w:rPr>
                <w:rFonts w:hint="eastAsia" w:ascii="仿宋" w:hAnsi="仿宋" w:eastAsia="仿宋" w:cs="仿宋"/>
                <w:bCs/>
                <w:sz w:val="28"/>
                <w:szCs w:val="28"/>
              </w:rPr>
              <w:t>提供投标人合法成立的营业执照或法人证书复印件</w:t>
            </w:r>
          </w:p>
        </w:tc>
      </w:tr>
      <w:tr w14:paraId="61D9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7" w:hRule="atLeast"/>
          <w:jc w:val="center"/>
        </w:trPr>
        <w:tc>
          <w:tcPr>
            <w:tcW w:w="697" w:type="dxa"/>
            <w:vAlign w:val="center"/>
          </w:tcPr>
          <w:p w14:paraId="152E74AA">
            <w:pPr>
              <w:spacing w:line="360" w:lineRule="auto"/>
              <w:jc w:val="center"/>
              <w:rPr>
                <w:rFonts w:hint="eastAsia" w:ascii="仿宋" w:hAnsi="仿宋" w:eastAsia="仿宋" w:cs="仿宋"/>
                <w:bCs/>
                <w:sz w:val="28"/>
                <w:szCs w:val="28"/>
              </w:rPr>
            </w:pPr>
            <w:r>
              <w:rPr>
                <w:rFonts w:hint="eastAsia" w:ascii="仿宋" w:hAnsi="仿宋" w:eastAsia="仿宋" w:cs="仿宋"/>
                <w:bCs/>
                <w:sz w:val="28"/>
                <w:szCs w:val="28"/>
              </w:rPr>
              <w:t>2</w:t>
            </w:r>
          </w:p>
        </w:tc>
        <w:tc>
          <w:tcPr>
            <w:tcW w:w="3731" w:type="dxa"/>
            <w:vAlign w:val="center"/>
          </w:tcPr>
          <w:p w14:paraId="6230F1B5">
            <w:pPr>
              <w:rPr>
                <w:rFonts w:hint="eastAsia" w:ascii="仿宋" w:hAnsi="仿宋" w:eastAsia="仿宋" w:cs="仿宋"/>
                <w:sz w:val="28"/>
                <w:szCs w:val="28"/>
              </w:rPr>
            </w:pPr>
            <w:r>
              <w:rPr>
                <w:rFonts w:hint="eastAsia" w:ascii="仿宋" w:hAnsi="仿宋" w:eastAsia="仿宋" w:cs="仿宋"/>
                <w:sz w:val="28"/>
                <w:szCs w:val="28"/>
              </w:rPr>
              <w:t>具有良好的商业信誉和健全的财务会计制度</w:t>
            </w:r>
          </w:p>
        </w:tc>
        <w:tc>
          <w:tcPr>
            <w:tcW w:w="5997" w:type="dxa"/>
            <w:vAlign w:val="center"/>
          </w:tcPr>
          <w:p w14:paraId="1A99D8CF">
            <w:pPr>
              <w:numPr>
                <w:ilvl w:val="0"/>
                <w:numId w:val="2"/>
              </w:numPr>
              <w:rPr>
                <w:rFonts w:hint="eastAsia" w:ascii="仿宋" w:hAnsi="仿宋" w:eastAsia="仿宋" w:cs="仿宋"/>
                <w:sz w:val="28"/>
                <w:szCs w:val="28"/>
              </w:rPr>
            </w:pPr>
            <w:r>
              <w:rPr>
                <w:rFonts w:hint="eastAsia" w:ascii="仿宋" w:hAnsi="仿宋" w:eastAsia="仿宋" w:cs="仿宋"/>
                <w:sz w:val="28"/>
                <w:szCs w:val="28"/>
              </w:rPr>
              <w:t>具有良好的商业信誉：</w:t>
            </w:r>
            <w:r>
              <w:rPr>
                <w:rFonts w:hint="eastAsia" w:ascii="仿宋" w:hAnsi="仿宋" w:eastAsia="仿宋" w:cs="仿宋"/>
                <w:sz w:val="28"/>
                <w:szCs w:val="28"/>
                <w:lang w:val="en-US"/>
              </w:rPr>
              <w:t>由投标人提供承诺函。</w:t>
            </w:r>
          </w:p>
          <w:p w14:paraId="55A9B44A">
            <w:pPr>
              <w:numPr>
                <w:ilvl w:val="0"/>
                <w:numId w:val="2"/>
              </w:numPr>
              <w:rPr>
                <w:rFonts w:hint="eastAsia" w:ascii="仿宋" w:hAnsi="仿宋" w:eastAsia="仿宋" w:cs="仿宋"/>
                <w:sz w:val="28"/>
                <w:szCs w:val="28"/>
              </w:rPr>
            </w:pPr>
            <w:r>
              <w:rPr>
                <w:rFonts w:hint="eastAsia" w:ascii="仿宋" w:hAnsi="仿宋" w:eastAsia="仿宋" w:cs="仿宋"/>
                <w:sz w:val="28"/>
                <w:szCs w:val="28"/>
              </w:rPr>
              <w:t>具有健全的财务会计制度：由投标人提供相关证明材料</w:t>
            </w:r>
            <w:r>
              <w:rPr>
                <w:rFonts w:hint="eastAsia" w:ascii="仿宋" w:hAnsi="仿宋" w:eastAsia="仿宋" w:cs="仿宋"/>
                <w:sz w:val="28"/>
                <w:szCs w:val="28"/>
                <w:lang w:val="en-US"/>
              </w:rPr>
              <w:t>或承诺函</w:t>
            </w:r>
            <w:r>
              <w:rPr>
                <w:rFonts w:hint="eastAsia" w:ascii="仿宋" w:hAnsi="仿宋" w:eastAsia="仿宋" w:cs="仿宋"/>
                <w:sz w:val="28"/>
                <w:szCs w:val="28"/>
              </w:rPr>
              <w:t>【注：证明材料</w:t>
            </w:r>
            <w:r>
              <w:rPr>
                <w:rFonts w:hint="eastAsia" w:ascii="仿宋" w:hAnsi="仿宋" w:eastAsia="仿宋" w:cs="仿宋"/>
                <w:sz w:val="28"/>
                <w:szCs w:val="28"/>
                <w:lang w:val="en-US"/>
              </w:rPr>
              <w:t>需</w:t>
            </w:r>
            <w:r>
              <w:rPr>
                <w:rFonts w:hint="eastAsia" w:ascii="仿宋" w:hAnsi="仿宋" w:eastAsia="仿宋" w:cs="仿宋"/>
                <w:sz w:val="28"/>
                <w:szCs w:val="28"/>
              </w:rPr>
              <w:t>提供202</w:t>
            </w:r>
            <w:r>
              <w:rPr>
                <w:rFonts w:hint="eastAsia" w:ascii="仿宋" w:hAnsi="仿宋" w:eastAsia="仿宋" w:cs="仿宋"/>
                <w:sz w:val="28"/>
                <w:szCs w:val="28"/>
                <w:lang w:val="en-US" w:eastAsia="zh-CN"/>
              </w:rPr>
              <w:t>4</w:t>
            </w:r>
            <w:r>
              <w:rPr>
                <w:rFonts w:hint="eastAsia" w:ascii="仿宋" w:hAnsi="仿宋" w:eastAsia="仿宋" w:cs="仿宋"/>
                <w:sz w:val="28"/>
                <w:szCs w:val="28"/>
              </w:rPr>
              <w:t>年度或20</w:t>
            </w:r>
            <w:r>
              <w:rPr>
                <w:rFonts w:hint="eastAsia" w:ascii="仿宋" w:hAnsi="仿宋" w:eastAsia="仿宋" w:cs="仿宋"/>
                <w:sz w:val="28"/>
                <w:szCs w:val="28"/>
                <w:lang w:val="en-US"/>
              </w:rPr>
              <w:t>2</w:t>
            </w:r>
            <w:r>
              <w:rPr>
                <w:rFonts w:hint="eastAsia" w:ascii="仿宋" w:hAnsi="仿宋" w:eastAsia="仿宋" w:cs="仿宋"/>
                <w:sz w:val="28"/>
                <w:szCs w:val="28"/>
                <w:lang w:val="en-US" w:eastAsia="zh-CN"/>
              </w:rPr>
              <w:t>5</w:t>
            </w:r>
            <w:r>
              <w:rPr>
                <w:rFonts w:hint="eastAsia" w:ascii="仿宋" w:hAnsi="仿宋" w:eastAsia="仿宋" w:cs="仿宋"/>
                <w:sz w:val="28"/>
                <w:szCs w:val="28"/>
              </w:rPr>
              <w:t>年度经</w:t>
            </w:r>
            <w:r>
              <w:rPr>
                <w:rFonts w:hint="eastAsia" w:ascii="仿宋" w:hAnsi="仿宋" w:eastAsia="仿宋" w:cs="仿宋"/>
                <w:sz w:val="28"/>
                <w:szCs w:val="28"/>
                <w:lang w:eastAsia="zh-CN"/>
              </w:rPr>
              <w:t>设计</w:t>
            </w:r>
            <w:r>
              <w:rPr>
                <w:rFonts w:hint="eastAsia" w:ascii="仿宋" w:hAnsi="仿宋" w:eastAsia="仿宋" w:cs="仿宋"/>
                <w:sz w:val="28"/>
                <w:szCs w:val="28"/>
              </w:rPr>
              <w:t>财务</w:t>
            </w:r>
            <w:r>
              <w:rPr>
                <w:rFonts w:hint="eastAsia" w:ascii="仿宋" w:hAnsi="仿宋" w:eastAsia="仿宋" w:cs="仿宋"/>
                <w:sz w:val="28"/>
                <w:szCs w:val="28"/>
                <w:lang w:eastAsia="zh-CN"/>
              </w:rPr>
              <w:t>设计</w:t>
            </w:r>
            <w:r>
              <w:rPr>
                <w:rFonts w:hint="eastAsia" w:ascii="仿宋" w:hAnsi="仿宋" w:eastAsia="仿宋" w:cs="仿宋"/>
                <w:sz w:val="28"/>
                <w:szCs w:val="28"/>
              </w:rPr>
              <w:t>报告，新成立企业，以各项资质证书取得的时间，按规定提交财务</w:t>
            </w:r>
            <w:r>
              <w:rPr>
                <w:rFonts w:hint="eastAsia" w:ascii="仿宋" w:hAnsi="仿宋" w:eastAsia="仿宋" w:cs="仿宋"/>
                <w:sz w:val="28"/>
                <w:szCs w:val="28"/>
                <w:lang w:eastAsia="zh-CN"/>
              </w:rPr>
              <w:t>设计</w:t>
            </w:r>
            <w:r>
              <w:rPr>
                <w:rFonts w:hint="eastAsia" w:ascii="仿宋" w:hAnsi="仿宋" w:eastAsia="仿宋" w:cs="仿宋"/>
                <w:sz w:val="28"/>
                <w:szCs w:val="28"/>
              </w:rPr>
              <w:t>报告，公司成立不足一年的，提供近期财务报表】</w:t>
            </w:r>
          </w:p>
        </w:tc>
      </w:tr>
      <w:tr w14:paraId="0F4B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97" w:type="dxa"/>
            <w:vAlign w:val="center"/>
          </w:tcPr>
          <w:p w14:paraId="79234045">
            <w:pPr>
              <w:spacing w:line="360" w:lineRule="auto"/>
              <w:jc w:val="center"/>
              <w:rPr>
                <w:rFonts w:hint="eastAsia" w:ascii="仿宋" w:hAnsi="仿宋" w:eastAsia="仿宋" w:cs="仿宋"/>
                <w:bCs/>
                <w:sz w:val="28"/>
                <w:szCs w:val="28"/>
              </w:rPr>
            </w:pPr>
            <w:r>
              <w:rPr>
                <w:rFonts w:hint="eastAsia" w:ascii="仿宋" w:hAnsi="仿宋" w:eastAsia="仿宋" w:cs="仿宋"/>
                <w:bCs/>
                <w:sz w:val="28"/>
                <w:szCs w:val="28"/>
              </w:rPr>
              <w:t>3</w:t>
            </w:r>
          </w:p>
        </w:tc>
        <w:tc>
          <w:tcPr>
            <w:tcW w:w="3731" w:type="dxa"/>
            <w:vAlign w:val="center"/>
          </w:tcPr>
          <w:p w14:paraId="230094D0">
            <w:pPr>
              <w:rPr>
                <w:rFonts w:hint="eastAsia" w:ascii="仿宋" w:hAnsi="仿宋" w:eastAsia="仿宋" w:cs="仿宋"/>
                <w:bCs/>
                <w:sz w:val="28"/>
                <w:szCs w:val="28"/>
              </w:rPr>
            </w:pPr>
            <w:r>
              <w:rPr>
                <w:rFonts w:hint="eastAsia" w:ascii="仿宋" w:hAnsi="仿宋" w:eastAsia="仿宋" w:cs="仿宋"/>
                <w:bCs/>
                <w:sz w:val="28"/>
                <w:szCs w:val="28"/>
              </w:rPr>
              <w:t>具有履行合同所必需的设备和专业技术能力</w:t>
            </w:r>
          </w:p>
        </w:tc>
        <w:tc>
          <w:tcPr>
            <w:tcW w:w="5997" w:type="dxa"/>
            <w:vAlign w:val="center"/>
          </w:tcPr>
          <w:p w14:paraId="33A709EE">
            <w:pPr>
              <w:rPr>
                <w:rFonts w:hint="eastAsia" w:ascii="仿宋" w:hAnsi="仿宋" w:eastAsia="仿宋" w:cs="仿宋"/>
                <w:sz w:val="28"/>
                <w:szCs w:val="28"/>
              </w:rPr>
            </w:pPr>
            <w:r>
              <w:rPr>
                <w:rFonts w:hint="eastAsia" w:ascii="仿宋" w:hAnsi="仿宋" w:eastAsia="仿宋" w:cs="仿宋"/>
                <w:bCs/>
                <w:sz w:val="28"/>
                <w:szCs w:val="28"/>
              </w:rPr>
              <w:t>提供投标人可充分满足履行合同所需设备和专业技术能力的证明材料或承诺</w:t>
            </w:r>
          </w:p>
        </w:tc>
      </w:tr>
      <w:tr w14:paraId="2640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97" w:type="dxa"/>
            <w:vAlign w:val="center"/>
          </w:tcPr>
          <w:p w14:paraId="3C731C90">
            <w:pPr>
              <w:spacing w:line="360" w:lineRule="auto"/>
              <w:jc w:val="center"/>
              <w:rPr>
                <w:rFonts w:hint="eastAsia" w:ascii="仿宋" w:hAnsi="仿宋" w:eastAsia="仿宋" w:cs="仿宋"/>
                <w:bCs/>
                <w:sz w:val="28"/>
                <w:szCs w:val="28"/>
              </w:rPr>
            </w:pPr>
            <w:r>
              <w:rPr>
                <w:rFonts w:hint="eastAsia" w:ascii="仿宋" w:hAnsi="仿宋" w:eastAsia="仿宋" w:cs="仿宋"/>
                <w:bCs/>
                <w:sz w:val="28"/>
                <w:szCs w:val="28"/>
              </w:rPr>
              <w:t>4</w:t>
            </w:r>
          </w:p>
        </w:tc>
        <w:tc>
          <w:tcPr>
            <w:tcW w:w="3731" w:type="dxa"/>
            <w:vAlign w:val="center"/>
          </w:tcPr>
          <w:p w14:paraId="08FB18BE">
            <w:pPr>
              <w:rPr>
                <w:rFonts w:hint="eastAsia" w:ascii="仿宋" w:hAnsi="仿宋" w:eastAsia="仿宋" w:cs="仿宋"/>
                <w:sz w:val="28"/>
                <w:szCs w:val="28"/>
              </w:rPr>
            </w:pPr>
            <w:r>
              <w:rPr>
                <w:rFonts w:hint="eastAsia" w:ascii="仿宋" w:hAnsi="仿宋" w:eastAsia="仿宋" w:cs="仿宋"/>
                <w:bCs/>
                <w:sz w:val="28"/>
                <w:szCs w:val="28"/>
              </w:rPr>
              <w:t>有依法缴纳税收和社会保障资金的良好记录</w:t>
            </w:r>
          </w:p>
        </w:tc>
        <w:tc>
          <w:tcPr>
            <w:tcW w:w="5997" w:type="dxa"/>
            <w:vAlign w:val="center"/>
          </w:tcPr>
          <w:p w14:paraId="5E19FC50">
            <w:pPr>
              <w:rPr>
                <w:rFonts w:hint="eastAsia" w:ascii="仿宋" w:hAnsi="仿宋" w:eastAsia="仿宋" w:cs="仿宋"/>
                <w:sz w:val="28"/>
                <w:szCs w:val="28"/>
              </w:rPr>
            </w:pPr>
            <w:r>
              <w:rPr>
                <w:rFonts w:hint="eastAsia" w:ascii="仿宋" w:hAnsi="仿宋" w:eastAsia="仿宋" w:cs="仿宋"/>
                <w:bCs/>
                <w:sz w:val="28"/>
                <w:szCs w:val="28"/>
              </w:rPr>
              <w:t>提供投标人</w:t>
            </w:r>
            <w:r>
              <w:rPr>
                <w:rFonts w:hint="eastAsia" w:ascii="仿宋" w:hAnsi="仿宋" w:eastAsia="仿宋" w:cs="仿宋"/>
                <w:bCs/>
                <w:sz w:val="28"/>
                <w:szCs w:val="28"/>
                <w:lang w:val="en-US"/>
              </w:rPr>
              <w:t>近一年内任意一个月</w:t>
            </w:r>
            <w:r>
              <w:rPr>
                <w:rFonts w:hint="eastAsia" w:ascii="仿宋" w:hAnsi="仿宋" w:eastAsia="仿宋" w:cs="仿宋"/>
                <w:bCs/>
                <w:sz w:val="28"/>
                <w:szCs w:val="28"/>
              </w:rPr>
              <w:t>依法缴纳税收记录和社会保障资金缴纳记录证明材料</w:t>
            </w:r>
            <w:r>
              <w:rPr>
                <w:rFonts w:hint="eastAsia" w:ascii="仿宋" w:hAnsi="仿宋" w:eastAsia="仿宋" w:cs="仿宋"/>
                <w:bCs/>
                <w:sz w:val="28"/>
                <w:szCs w:val="28"/>
                <w:lang w:val="en-US"/>
              </w:rPr>
              <w:t>或承诺函</w:t>
            </w:r>
            <w:r>
              <w:rPr>
                <w:rFonts w:hint="eastAsia" w:ascii="仿宋" w:hAnsi="仿宋" w:eastAsia="仿宋" w:cs="仿宋"/>
                <w:bCs/>
                <w:sz w:val="28"/>
                <w:szCs w:val="28"/>
              </w:rPr>
              <w:t>，复印件并加盖投标单位公章</w:t>
            </w:r>
          </w:p>
        </w:tc>
      </w:tr>
      <w:tr w14:paraId="160C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697" w:type="dxa"/>
            <w:vAlign w:val="center"/>
          </w:tcPr>
          <w:p w14:paraId="0E7C4377">
            <w:pPr>
              <w:spacing w:line="360" w:lineRule="auto"/>
              <w:jc w:val="center"/>
              <w:rPr>
                <w:rFonts w:hint="eastAsia" w:ascii="仿宋" w:hAnsi="仿宋" w:eastAsia="仿宋" w:cs="仿宋"/>
                <w:sz w:val="28"/>
                <w:szCs w:val="28"/>
              </w:rPr>
            </w:pPr>
            <w:r>
              <w:rPr>
                <w:rFonts w:hint="eastAsia" w:ascii="仿宋" w:hAnsi="仿宋" w:eastAsia="仿宋" w:cs="仿宋"/>
                <w:sz w:val="28"/>
                <w:szCs w:val="28"/>
              </w:rPr>
              <w:t>5</w:t>
            </w:r>
          </w:p>
        </w:tc>
        <w:tc>
          <w:tcPr>
            <w:tcW w:w="3731" w:type="dxa"/>
            <w:vAlign w:val="center"/>
          </w:tcPr>
          <w:p w14:paraId="7FC42889">
            <w:pPr>
              <w:rPr>
                <w:rFonts w:hint="eastAsia" w:ascii="仿宋" w:hAnsi="仿宋" w:eastAsia="仿宋" w:cs="仿宋"/>
                <w:sz w:val="28"/>
                <w:szCs w:val="28"/>
              </w:rPr>
            </w:pPr>
            <w:r>
              <w:rPr>
                <w:rFonts w:hint="eastAsia" w:ascii="仿宋" w:hAnsi="仿宋" w:eastAsia="仿宋" w:cs="仿宋"/>
                <w:bCs/>
                <w:sz w:val="28"/>
                <w:szCs w:val="28"/>
              </w:rPr>
              <w:t>参加政府采购活动前三年内，在经营活动中没有重大违法记录</w:t>
            </w:r>
          </w:p>
        </w:tc>
        <w:tc>
          <w:tcPr>
            <w:tcW w:w="5997" w:type="dxa"/>
            <w:vAlign w:val="center"/>
          </w:tcPr>
          <w:p w14:paraId="4D75A025">
            <w:pPr>
              <w:rPr>
                <w:rFonts w:hint="eastAsia" w:ascii="仿宋" w:hAnsi="仿宋" w:eastAsia="仿宋" w:cs="仿宋"/>
                <w:sz w:val="28"/>
                <w:szCs w:val="28"/>
              </w:rPr>
            </w:pPr>
            <w:r>
              <w:rPr>
                <w:rFonts w:hint="eastAsia" w:ascii="仿宋" w:hAnsi="仿宋" w:eastAsia="仿宋" w:cs="仿宋"/>
                <w:sz w:val="28"/>
                <w:szCs w:val="28"/>
              </w:rPr>
              <w:t>投标人参加政府采购活动前三年内，在经营活动中没有重大违法记录的书面声明材料（</w:t>
            </w:r>
            <w:r>
              <w:rPr>
                <w:rFonts w:hint="eastAsia" w:ascii="仿宋" w:hAnsi="仿宋" w:eastAsia="仿宋" w:cs="仿宋"/>
                <w:sz w:val="28"/>
                <w:szCs w:val="28"/>
                <w:lang w:val="en-US"/>
              </w:rPr>
              <w:t>提供承诺函</w:t>
            </w:r>
            <w:r>
              <w:rPr>
                <w:rFonts w:hint="eastAsia" w:ascii="仿宋" w:hAnsi="仿宋" w:eastAsia="仿宋" w:cs="仿宋"/>
                <w:sz w:val="28"/>
                <w:szCs w:val="28"/>
              </w:rPr>
              <w:t>）</w:t>
            </w:r>
          </w:p>
        </w:tc>
      </w:tr>
      <w:tr w14:paraId="41AE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97" w:type="dxa"/>
            <w:vAlign w:val="center"/>
          </w:tcPr>
          <w:p w14:paraId="036A9B20">
            <w:pPr>
              <w:spacing w:line="360" w:lineRule="auto"/>
              <w:jc w:val="center"/>
              <w:rPr>
                <w:rFonts w:hint="eastAsia" w:ascii="仿宋" w:hAnsi="仿宋" w:eastAsia="仿宋" w:cs="仿宋"/>
                <w:sz w:val="28"/>
                <w:szCs w:val="28"/>
              </w:rPr>
            </w:pPr>
            <w:r>
              <w:rPr>
                <w:rFonts w:hint="eastAsia" w:ascii="仿宋" w:hAnsi="仿宋" w:eastAsia="仿宋" w:cs="仿宋"/>
                <w:sz w:val="28"/>
                <w:szCs w:val="28"/>
                <w:lang w:val="en-US"/>
              </w:rPr>
              <w:t>6</w:t>
            </w:r>
          </w:p>
        </w:tc>
        <w:tc>
          <w:tcPr>
            <w:tcW w:w="3731" w:type="dxa"/>
            <w:vAlign w:val="center"/>
          </w:tcPr>
          <w:p w14:paraId="34880171">
            <w:pPr>
              <w:rPr>
                <w:rFonts w:hint="eastAsia" w:ascii="仿宋" w:hAnsi="仿宋" w:eastAsia="仿宋" w:cs="仿宋"/>
                <w:bCs/>
                <w:sz w:val="28"/>
                <w:szCs w:val="28"/>
              </w:rPr>
            </w:pPr>
            <w:r>
              <w:rPr>
                <w:rFonts w:hint="eastAsia" w:ascii="仿宋" w:hAnsi="仿宋" w:eastAsia="仿宋" w:cs="仿宋"/>
                <w:bCs/>
                <w:sz w:val="28"/>
                <w:szCs w:val="28"/>
              </w:rPr>
              <w:t>未被“信用中国”网站（</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"http://www.creditchina.gov.cn）中列入失信被执行人和/" </w:instrText>
            </w:r>
            <w:r>
              <w:rPr>
                <w:rFonts w:hint="eastAsia" w:ascii="仿宋" w:hAnsi="仿宋" w:eastAsia="仿宋" w:cs="仿宋"/>
                <w:sz w:val="28"/>
                <w:szCs w:val="28"/>
              </w:rPr>
              <w:fldChar w:fldCharType="separate"/>
            </w:r>
            <w:r>
              <w:rPr>
                <w:rFonts w:hint="eastAsia" w:ascii="仿宋" w:hAnsi="仿宋" w:eastAsia="仿宋" w:cs="仿宋"/>
                <w:bCs/>
                <w:sz w:val="28"/>
                <w:szCs w:val="28"/>
              </w:rPr>
              <w:t>www.creditchina.gov.cn）中列入失信被执行人</w:t>
            </w:r>
            <w:r>
              <w:rPr>
                <w:rFonts w:hint="eastAsia" w:ascii="仿宋" w:hAnsi="仿宋" w:eastAsia="仿宋" w:cs="仿宋"/>
                <w:bCs/>
                <w:sz w:val="28"/>
                <w:szCs w:val="28"/>
              </w:rPr>
              <w:fldChar w:fldCharType="end"/>
            </w:r>
            <w:r>
              <w:rPr>
                <w:rFonts w:hint="eastAsia" w:ascii="仿宋" w:hAnsi="仿宋" w:eastAsia="仿宋" w:cs="仿宋"/>
                <w:bCs/>
                <w:sz w:val="28"/>
                <w:szCs w:val="28"/>
              </w:rPr>
              <w:t>或重大税收违法案件当事人名单的供应商、未被中国采购与招标网（www.ccgp.gov.cn）列入政府采购严重违法失信行为记录名单</w:t>
            </w:r>
          </w:p>
        </w:tc>
        <w:tc>
          <w:tcPr>
            <w:tcW w:w="5997" w:type="dxa"/>
            <w:vAlign w:val="center"/>
          </w:tcPr>
          <w:p w14:paraId="741B4386">
            <w:pPr>
              <w:rPr>
                <w:rFonts w:hint="eastAsia" w:ascii="仿宋" w:hAnsi="仿宋" w:eastAsia="仿宋" w:cs="仿宋"/>
                <w:bCs/>
                <w:sz w:val="28"/>
                <w:szCs w:val="28"/>
              </w:rPr>
            </w:pPr>
            <w:r>
              <w:rPr>
                <w:rFonts w:hint="eastAsia" w:ascii="仿宋" w:hAnsi="仿宋" w:eastAsia="仿宋" w:cs="仿宋"/>
                <w:bCs/>
                <w:sz w:val="28"/>
                <w:szCs w:val="28"/>
              </w:rPr>
              <w:t>投标人在信用中国网站、中国采购与招标网查询</w:t>
            </w:r>
            <w:r>
              <w:rPr>
                <w:rFonts w:hint="eastAsia" w:ascii="仿宋" w:hAnsi="仿宋" w:eastAsia="仿宋" w:cs="仿宋"/>
                <w:bCs/>
                <w:sz w:val="28"/>
                <w:szCs w:val="28"/>
                <w:lang w:val="en-US"/>
              </w:rPr>
              <w:t>无不良</w:t>
            </w:r>
            <w:r>
              <w:rPr>
                <w:rFonts w:hint="eastAsia" w:ascii="仿宋" w:hAnsi="仿宋" w:eastAsia="仿宋" w:cs="仿宋"/>
                <w:bCs/>
                <w:sz w:val="28"/>
                <w:szCs w:val="28"/>
              </w:rPr>
              <w:t>信用记录</w:t>
            </w:r>
          </w:p>
        </w:tc>
      </w:tr>
    </w:tbl>
    <w:p w14:paraId="2E1606DE">
      <w:pPr>
        <w:rPr>
          <w:rFonts w:hint="eastAsia" w:ascii="方正仿宋_GBK" w:hAnsi="方正仿宋_GBK" w:eastAsia="方正仿宋_GBK" w:cs="方正仿宋_GBK"/>
          <w:b/>
          <w:bCs/>
          <w:sz w:val="28"/>
          <w:szCs w:val="28"/>
        </w:rPr>
      </w:pPr>
      <w:bookmarkStart w:id="3" w:name="_GoBack"/>
      <w:bookmarkEnd w:id="3"/>
      <w:r>
        <w:rPr>
          <w:rFonts w:hint="eastAsia" w:ascii="仿宋" w:hAnsi="仿宋" w:eastAsia="仿宋" w:cs="仿宋"/>
          <w:sz w:val="25"/>
        </w:rPr>
        <w:br w:type="page"/>
      </w:r>
      <w:r>
        <w:rPr>
          <w:rFonts w:hint="eastAsia" w:ascii="方正仿宋_GBK" w:hAnsi="方正仿宋_GBK" w:eastAsia="方正仿宋_GBK" w:cs="方正仿宋_GBK"/>
          <w:b/>
          <w:bCs/>
          <w:sz w:val="28"/>
          <w:szCs w:val="28"/>
        </w:rPr>
        <w:t>符合性审查标准见下表：</w:t>
      </w:r>
    </w:p>
    <w:tbl>
      <w:tblPr>
        <w:tblStyle w:val="11"/>
        <w:tblW w:w="10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3984"/>
        <w:gridCol w:w="4776"/>
        <w:gridCol w:w="1013"/>
      </w:tblGrid>
      <w:tr w14:paraId="12F5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2F12313F">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序号</w:t>
            </w:r>
          </w:p>
        </w:tc>
        <w:tc>
          <w:tcPr>
            <w:tcW w:w="3984" w:type="dxa"/>
            <w:vAlign w:val="center"/>
          </w:tcPr>
          <w:p w14:paraId="27BC45D3">
            <w:pPr>
              <w:snapToGrid w:val="0"/>
              <w:ind w:left="0" w:leftChars="0" w:right="0" w:rightChars="0" w:firstLine="0" w:firstLineChars="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符合性审查项</w:t>
            </w:r>
          </w:p>
        </w:tc>
        <w:tc>
          <w:tcPr>
            <w:tcW w:w="4776" w:type="dxa"/>
            <w:vAlign w:val="center"/>
          </w:tcPr>
          <w:p w14:paraId="0F518D2A">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通过条件</w:t>
            </w:r>
          </w:p>
        </w:tc>
        <w:tc>
          <w:tcPr>
            <w:tcW w:w="1013" w:type="dxa"/>
            <w:vAlign w:val="center"/>
          </w:tcPr>
          <w:p w14:paraId="0A4F9702">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结论</w:t>
            </w:r>
          </w:p>
        </w:tc>
      </w:tr>
      <w:tr w14:paraId="6F3F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93136A7">
            <w:pPr>
              <w:snapToGrid w:val="0"/>
              <w:ind w:left="0" w:leftChars="0" w:right="0" w:rightChars="0" w:firstLine="0" w:firstLineChars="0"/>
              <w:jc w:val="center"/>
              <w:rPr>
                <w:rFonts w:hint="eastAsia" w:ascii="仿宋" w:hAnsi="仿宋" w:eastAsia="仿宋" w:cs="仿宋"/>
                <w:b/>
                <w:bCs/>
                <w:sz w:val="28"/>
                <w:szCs w:val="28"/>
              </w:rPr>
            </w:pPr>
            <w:r>
              <w:rPr>
                <w:rFonts w:hint="eastAsia" w:ascii="仿宋" w:hAnsi="仿宋" w:eastAsia="仿宋" w:cs="仿宋"/>
                <w:sz w:val="28"/>
                <w:szCs w:val="28"/>
              </w:rPr>
              <w:t>1</w:t>
            </w:r>
          </w:p>
        </w:tc>
        <w:tc>
          <w:tcPr>
            <w:tcW w:w="3984" w:type="dxa"/>
            <w:vAlign w:val="center"/>
          </w:tcPr>
          <w:p w14:paraId="0AA979F2">
            <w:pPr>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lang w:val="en-US"/>
              </w:rPr>
              <w:t>供应商</w:t>
            </w:r>
            <w:r>
              <w:rPr>
                <w:rFonts w:hint="eastAsia" w:ascii="仿宋" w:hAnsi="仿宋" w:eastAsia="仿宋" w:cs="仿宋"/>
                <w:sz w:val="28"/>
                <w:szCs w:val="28"/>
              </w:rPr>
              <w:t>名称</w:t>
            </w:r>
          </w:p>
        </w:tc>
        <w:tc>
          <w:tcPr>
            <w:tcW w:w="4776" w:type="dxa"/>
            <w:vAlign w:val="center"/>
          </w:tcPr>
          <w:p w14:paraId="25F71DE9">
            <w:pPr>
              <w:widowControl/>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rPr>
              <w:t>与营业执照或法人证书一致</w:t>
            </w:r>
          </w:p>
        </w:tc>
        <w:tc>
          <w:tcPr>
            <w:tcW w:w="1013" w:type="dxa"/>
            <w:vAlign w:val="center"/>
          </w:tcPr>
          <w:p w14:paraId="4491EE5C">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p>
        </w:tc>
      </w:tr>
      <w:tr w14:paraId="15AA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796AC00">
            <w:pPr>
              <w:snapToGrid w:val="0"/>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rPr>
              <w:t>2</w:t>
            </w:r>
          </w:p>
        </w:tc>
        <w:tc>
          <w:tcPr>
            <w:tcW w:w="3984" w:type="dxa"/>
            <w:vAlign w:val="center"/>
          </w:tcPr>
          <w:p w14:paraId="20B50EC7">
            <w:pPr>
              <w:pStyle w:val="15"/>
              <w:snapToGrid w:val="0"/>
              <w:ind w:left="0" w:leftChars="0" w:right="0" w:rightChars="0" w:firstLine="0" w:firstLineChars="0"/>
              <w:jc w:val="left"/>
              <w:rPr>
                <w:rFonts w:hint="eastAsia" w:ascii="仿宋" w:hAnsi="仿宋" w:eastAsia="仿宋" w:cs="仿宋"/>
                <w:bCs/>
                <w:sz w:val="28"/>
                <w:szCs w:val="28"/>
                <w:lang w:val="en-US"/>
              </w:rPr>
            </w:pPr>
            <w:r>
              <w:rPr>
                <w:rFonts w:hint="eastAsia" w:ascii="仿宋" w:hAnsi="仿宋" w:eastAsia="仿宋" w:cs="仿宋"/>
                <w:bCs/>
                <w:sz w:val="28"/>
                <w:szCs w:val="28"/>
                <w:lang w:val="en-US"/>
              </w:rPr>
              <w:t>合同履行期限</w:t>
            </w:r>
          </w:p>
        </w:tc>
        <w:tc>
          <w:tcPr>
            <w:tcW w:w="4776" w:type="dxa"/>
            <w:vAlign w:val="center"/>
          </w:tcPr>
          <w:p w14:paraId="69897821">
            <w:pPr>
              <w:pStyle w:val="15"/>
              <w:snapToGrid w:val="0"/>
              <w:ind w:left="0" w:leftChars="0" w:right="0" w:rightChars="0" w:firstLine="0" w:firstLineChars="0"/>
              <w:jc w:val="left"/>
              <w:rPr>
                <w:rFonts w:hint="eastAsia" w:ascii="仿宋" w:hAnsi="仿宋" w:eastAsia="仿宋" w:cs="仿宋"/>
                <w:bCs/>
                <w:sz w:val="28"/>
                <w:szCs w:val="28"/>
                <w:lang w:val="en-US"/>
              </w:rPr>
            </w:pPr>
            <w:r>
              <w:rPr>
                <w:rFonts w:hint="eastAsia" w:ascii="仿宋" w:hAnsi="仿宋" w:eastAsia="仿宋" w:cs="仿宋"/>
                <w:bCs/>
                <w:sz w:val="28"/>
                <w:szCs w:val="28"/>
                <w:lang w:val="en-US"/>
              </w:rPr>
              <w:t>是否符合</w:t>
            </w:r>
            <w:r>
              <w:rPr>
                <w:rFonts w:hint="eastAsia" w:ascii="仿宋" w:hAnsi="仿宋" w:eastAsia="仿宋" w:cs="仿宋"/>
                <w:bCs/>
                <w:sz w:val="28"/>
                <w:szCs w:val="28"/>
                <w:lang w:val="en-US" w:eastAsia="zh-CN"/>
              </w:rPr>
              <w:t>招标</w:t>
            </w:r>
            <w:r>
              <w:rPr>
                <w:rFonts w:hint="eastAsia" w:ascii="仿宋" w:hAnsi="仿宋" w:eastAsia="仿宋" w:cs="仿宋"/>
                <w:bCs/>
                <w:sz w:val="28"/>
                <w:szCs w:val="28"/>
                <w:lang w:val="en-US"/>
              </w:rPr>
              <w:t>文件要求</w:t>
            </w:r>
          </w:p>
        </w:tc>
        <w:tc>
          <w:tcPr>
            <w:tcW w:w="1013" w:type="dxa"/>
            <w:vAlign w:val="center"/>
          </w:tcPr>
          <w:p w14:paraId="224B04EB">
            <w:pPr>
              <w:widowControl/>
              <w:snapToGrid w:val="0"/>
              <w:ind w:left="0" w:leftChars="0" w:right="0" w:rightChars="0" w:firstLine="0" w:firstLineChars="0"/>
              <w:jc w:val="center"/>
              <w:rPr>
                <w:rFonts w:hint="eastAsia" w:ascii="方正仿宋_GBK" w:hAnsi="方正仿宋_GBK" w:eastAsia="方正仿宋_GBK" w:cs="方正仿宋_GBK"/>
                <w:b/>
                <w:bCs/>
                <w:sz w:val="28"/>
                <w:szCs w:val="28"/>
                <w:lang w:val="en-US"/>
              </w:rPr>
            </w:pPr>
          </w:p>
        </w:tc>
      </w:tr>
      <w:tr w14:paraId="584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A6DDC55">
            <w:pPr>
              <w:snapToGrid w:val="0"/>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rPr>
              <w:t>3</w:t>
            </w:r>
          </w:p>
        </w:tc>
        <w:tc>
          <w:tcPr>
            <w:tcW w:w="3984" w:type="dxa"/>
            <w:vAlign w:val="center"/>
          </w:tcPr>
          <w:p w14:paraId="4A0EB200">
            <w:pPr>
              <w:pStyle w:val="15"/>
              <w:snapToGrid w:val="0"/>
              <w:ind w:left="0" w:leftChars="0" w:right="0" w:rightChars="0" w:firstLine="0" w:firstLineChars="0"/>
              <w:jc w:val="left"/>
              <w:rPr>
                <w:rFonts w:hint="eastAsia" w:ascii="仿宋" w:hAnsi="仿宋" w:eastAsia="仿宋" w:cs="仿宋"/>
                <w:bCs/>
                <w:sz w:val="28"/>
                <w:szCs w:val="28"/>
              </w:rPr>
            </w:pPr>
            <w:r>
              <w:rPr>
                <w:rFonts w:hint="eastAsia" w:ascii="仿宋" w:hAnsi="仿宋" w:eastAsia="仿宋" w:cs="仿宋"/>
                <w:bCs/>
                <w:sz w:val="28"/>
                <w:szCs w:val="28"/>
                <w:lang w:val="en-US" w:eastAsia="zh-CN"/>
              </w:rPr>
              <w:t>招标</w:t>
            </w:r>
            <w:r>
              <w:rPr>
                <w:rFonts w:hint="eastAsia" w:ascii="仿宋" w:hAnsi="仿宋" w:eastAsia="仿宋" w:cs="仿宋"/>
                <w:bCs/>
                <w:sz w:val="28"/>
                <w:szCs w:val="28"/>
              </w:rPr>
              <w:t>有效期</w:t>
            </w:r>
          </w:p>
        </w:tc>
        <w:tc>
          <w:tcPr>
            <w:tcW w:w="4776" w:type="dxa"/>
            <w:vAlign w:val="center"/>
          </w:tcPr>
          <w:p w14:paraId="408D27E5">
            <w:pPr>
              <w:pStyle w:val="15"/>
              <w:snapToGrid w:val="0"/>
              <w:ind w:left="0" w:leftChars="0" w:right="0" w:rightChars="0" w:firstLine="0" w:firstLineChars="0"/>
              <w:jc w:val="left"/>
              <w:rPr>
                <w:rFonts w:hint="eastAsia" w:ascii="仿宋" w:hAnsi="仿宋" w:eastAsia="仿宋" w:cs="仿宋"/>
                <w:bCs/>
                <w:sz w:val="28"/>
                <w:szCs w:val="28"/>
              </w:rPr>
            </w:pPr>
            <w:r>
              <w:rPr>
                <w:rFonts w:hint="eastAsia" w:ascii="仿宋" w:hAnsi="仿宋" w:eastAsia="仿宋" w:cs="仿宋"/>
                <w:bCs/>
                <w:sz w:val="28"/>
                <w:szCs w:val="28"/>
                <w:lang w:val="en-US"/>
              </w:rPr>
              <w:t>60日历天</w:t>
            </w:r>
          </w:p>
        </w:tc>
        <w:tc>
          <w:tcPr>
            <w:tcW w:w="1013" w:type="dxa"/>
            <w:vAlign w:val="center"/>
          </w:tcPr>
          <w:p w14:paraId="3B5007C9">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p>
        </w:tc>
      </w:tr>
      <w:tr w14:paraId="3FD3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AB5533D">
            <w:pPr>
              <w:snapToGrid w:val="0"/>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rPr>
              <w:t>4</w:t>
            </w:r>
          </w:p>
        </w:tc>
        <w:tc>
          <w:tcPr>
            <w:tcW w:w="3984" w:type="dxa"/>
            <w:vAlign w:val="center"/>
          </w:tcPr>
          <w:p w14:paraId="0C7D029A">
            <w:pPr>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lang w:val="en-US"/>
              </w:rPr>
              <w:t>响应</w:t>
            </w:r>
            <w:r>
              <w:rPr>
                <w:rFonts w:hint="eastAsia" w:ascii="仿宋" w:hAnsi="仿宋" w:eastAsia="仿宋" w:cs="仿宋"/>
                <w:sz w:val="28"/>
                <w:szCs w:val="28"/>
              </w:rPr>
              <w:t>文件印制、签署</w:t>
            </w:r>
          </w:p>
        </w:tc>
        <w:tc>
          <w:tcPr>
            <w:tcW w:w="4776" w:type="dxa"/>
            <w:vAlign w:val="center"/>
          </w:tcPr>
          <w:p w14:paraId="55D8B760">
            <w:pPr>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rPr>
              <w:t>符合</w:t>
            </w:r>
            <w:r>
              <w:rPr>
                <w:rFonts w:hint="eastAsia" w:ascii="仿宋" w:hAnsi="仿宋" w:eastAsia="仿宋" w:cs="仿宋"/>
                <w:sz w:val="28"/>
                <w:szCs w:val="28"/>
                <w:lang w:val="en-US" w:eastAsia="zh-CN"/>
              </w:rPr>
              <w:t>招标</w:t>
            </w:r>
            <w:r>
              <w:rPr>
                <w:rFonts w:hint="eastAsia" w:ascii="仿宋" w:hAnsi="仿宋" w:eastAsia="仿宋" w:cs="仿宋"/>
                <w:sz w:val="28"/>
                <w:szCs w:val="28"/>
                <w:lang w:val="en-US"/>
              </w:rPr>
              <w:t>文件</w:t>
            </w:r>
            <w:r>
              <w:rPr>
                <w:rFonts w:hint="eastAsia" w:ascii="仿宋" w:hAnsi="仿宋" w:eastAsia="仿宋" w:cs="仿宋"/>
                <w:sz w:val="28"/>
                <w:szCs w:val="28"/>
              </w:rPr>
              <w:t>的要求。</w:t>
            </w:r>
          </w:p>
        </w:tc>
        <w:tc>
          <w:tcPr>
            <w:tcW w:w="1013" w:type="dxa"/>
            <w:vAlign w:val="center"/>
          </w:tcPr>
          <w:p w14:paraId="6E53B310">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p>
        </w:tc>
      </w:tr>
      <w:tr w14:paraId="09B9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2" w:type="dxa"/>
            <w:vAlign w:val="center"/>
          </w:tcPr>
          <w:p w14:paraId="0E653253">
            <w:pPr>
              <w:snapToGrid w:val="0"/>
              <w:ind w:left="0" w:leftChars="0" w:right="0" w:rightChars="0" w:firstLine="0" w:firstLineChars="0"/>
              <w:jc w:val="center"/>
              <w:rPr>
                <w:rFonts w:hint="eastAsia" w:ascii="仿宋" w:hAnsi="仿宋" w:eastAsia="仿宋" w:cs="仿宋"/>
                <w:sz w:val="28"/>
                <w:szCs w:val="28"/>
                <w:lang w:val="en-US"/>
              </w:rPr>
            </w:pPr>
            <w:r>
              <w:rPr>
                <w:rFonts w:hint="eastAsia" w:ascii="仿宋" w:hAnsi="仿宋" w:eastAsia="仿宋" w:cs="仿宋"/>
                <w:sz w:val="28"/>
                <w:szCs w:val="28"/>
                <w:lang w:val="en-US"/>
              </w:rPr>
              <w:t>5</w:t>
            </w:r>
          </w:p>
        </w:tc>
        <w:tc>
          <w:tcPr>
            <w:tcW w:w="3984" w:type="dxa"/>
            <w:vAlign w:val="center"/>
          </w:tcPr>
          <w:p w14:paraId="054B699D">
            <w:pPr>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lang w:val="en-US" w:eastAsia="zh-CN"/>
              </w:rPr>
              <w:t>招标</w:t>
            </w:r>
            <w:r>
              <w:rPr>
                <w:rFonts w:hint="eastAsia" w:ascii="仿宋" w:hAnsi="仿宋" w:eastAsia="仿宋" w:cs="仿宋"/>
                <w:sz w:val="28"/>
                <w:szCs w:val="28"/>
                <w:lang w:val="en-US"/>
              </w:rPr>
              <w:t>文件</w:t>
            </w:r>
            <w:r>
              <w:rPr>
                <w:rFonts w:hint="eastAsia" w:ascii="仿宋" w:hAnsi="仿宋" w:eastAsia="仿宋" w:cs="仿宋"/>
                <w:sz w:val="28"/>
                <w:szCs w:val="28"/>
              </w:rPr>
              <w:t>规定的其他实质性要求</w:t>
            </w:r>
          </w:p>
        </w:tc>
        <w:tc>
          <w:tcPr>
            <w:tcW w:w="4776" w:type="dxa"/>
            <w:vAlign w:val="center"/>
          </w:tcPr>
          <w:p w14:paraId="63235EC4">
            <w:pPr>
              <w:pStyle w:val="16"/>
              <w:tabs>
                <w:tab w:val="left" w:pos="743"/>
              </w:tabs>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rPr>
              <w:t>符合</w:t>
            </w:r>
            <w:r>
              <w:rPr>
                <w:rFonts w:hint="eastAsia" w:ascii="仿宋" w:hAnsi="仿宋" w:eastAsia="仿宋" w:cs="仿宋"/>
                <w:sz w:val="28"/>
                <w:szCs w:val="28"/>
                <w:lang w:val="en-US" w:eastAsia="zh-CN"/>
              </w:rPr>
              <w:t>招标</w:t>
            </w:r>
            <w:r>
              <w:rPr>
                <w:rFonts w:hint="eastAsia" w:ascii="仿宋" w:hAnsi="仿宋" w:eastAsia="仿宋" w:cs="仿宋"/>
                <w:sz w:val="28"/>
                <w:szCs w:val="28"/>
                <w:lang w:val="en-US"/>
              </w:rPr>
              <w:t>文件</w:t>
            </w:r>
            <w:r>
              <w:rPr>
                <w:rFonts w:hint="eastAsia" w:ascii="仿宋" w:hAnsi="仿宋" w:eastAsia="仿宋" w:cs="仿宋"/>
                <w:sz w:val="28"/>
                <w:szCs w:val="28"/>
              </w:rPr>
              <w:t>规定的其他实质性要求。</w:t>
            </w:r>
          </w:p>
        </w:tc>
        <w:tc>
          <w:tcPr>
            <w:tcW w:w="1013" w:type="dxa"/>
            <w:vAlign w:val="center"/>
          </w:tcPr>
          <w:p w14:paraId="5227BF80">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p>
        </w:tc>
      </w:tr>
    </w:tbl>
    <w:p w14:paraId="40986768">
      <w:pPr>
        <w:rPr>
          <w:rFonts w:hint="eastAsia" w:ascii="方正仿宋_GBK" w:hAnsi="方正仿宋_GBK" w:eastAsia="方正仿宋_GBK" w:cs="方正仿宋_GBK"/>
        </w:rPr>
      </w:pPr>
    </w:p>
    <w:p w14:paraId="3F121B9E">
      <w:pPr>
        <w:pStyle w:val="10"/>
        <w:ind w:firstLine="240"/>
        <w:rPr>
          <w:rFonts w:hint="eastAsia" w:ascii="方正仿宋_GBK" w:hAnsi="方正仿宋_GBK" w:eastAsia="方正仿宋_GBK" w:cs="方正仿宋_GBK"/>
        </w:rPr>
      </w:pPr>
      <w:r>
        <w:rPr>
          <w:rFonts w:hint="eastAsia" w:ascii="方正仿宋_GBK" w:hAnsi="方正仿宋_GBK" w:eastAsia="方正仿宋_GBK" w:cs="方正仿宋_GBK"/>
        </w:rPr>
        <w:br w:type="page"/>
      </w:r>
    </w:p>
    <w:p w14:paraId="32CCE3DB">
      <w:pPr>
        <w:pStyle w:val="14"/>
        <w:numPr>
          <w:ilvl w:val="1"/>
          <w:numId w:val="0"/>
        </w:numPr>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综合评分明细表</w:t>
      </w:r>
    </w:p>
    <w:tbl>
      <w:tblPr>
        <w:tblStyle w:val="11"/>
        <w:tblW w:w="0" w:type="auto"/>
        <w:tblInd w:w="0" w:type="dxa"/>
        <w:tblLayout w:type="fixed"/>
        <w:tblCellMar>
          <w:top w:w="0" w:type="dxa"/>
          <w:left w:w="108" w:type="dxa"/>
          <w:bottom w:w="0" w:type="dxa"/>
          <w:right w:w="108" w:type="dxa"/>
        </w:tblCellMar>
      </w:tblPr>
      <w:tblGrid>
        <w:gridCol w:w="1535"/>
        <w:gridCol w:w="843"/>
        <w:gridCol w:w="674"/>
        <w:gridCol w:w="7247"/>
      </w:tblGrid>
      <w:tr w14:paraId="4EEEA6FC">
        <w:tblPrEx>
          <w:tblCellMar>
            <w:top w:w="0" w:type="dxa"/>
            <w:left w:w="108" w:type="dxa"/>
            <w:bottom w:w="0" w:type="dxa"/>
            <w:right w:w="108" w:type="dxa"/>
          </w:tblCellMar>
        </w:tblPrEx>
        <w:trPr>
          <w:trHeight w:val="616" w:hRule="atLeast"/>
        </w:trPr>
        <w:tc>
          <w:tcPr>
            <w:tcW w:w="3052" w:type="dxa"/>
            <w:gridSpan w:val="3"/>
            <w:tcBorders>
              <w:top w:val="single" w:color="auto" w:sz="4" w:space="0"/>
              <w:left w:val="single" w:color="auto" w:sz="4" w:space="0"/>
              <w:bottom w:val="single" w:color="auto" w:sz="4" w:space="0"/>
              <w:right w:val="single" w:color="auto" w:sz="4" w:space="0"/>
            </w:tcBorders>
            <w:vAlign w:val="center"/>
          </w:tcPr>
          <w:p w14:paraId="54E365D4">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条款内容</w:t>
            </w:r>
          </w:p>
        </w:tc>
        <w:tc>
          <w:tcPr>
            <w:tcW w:w="7247" w:type="dxa"/>
            <w:tcBorders>
              <w:top w:val="single" w:color="auto" w:sz="4" w:space="0"/>
              <w:left w:val="nil"/>
              <w:bottom w:val="single" w:color="auto" w:sz="4" w:space="0"/>
              <w:right w:val="single" w:color="auto" w:sz="4" w:space="0"/>
            </w:tcBorders>
            <w:vAlign w:val="center"/>
          </w:tcPr>
          <w:p w14:paraId="61B6184E">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编列内容</w:t>
            </w:r>
          </w:p>
        </w:tc>
      </w:tr>
      <w:tr w14:paraId="6721654D">
        <w:tblPrEx>
          <w:tblCellMar>
            <w:top w:w="0" w:type="dxa"/>
            <w:left w:w="108" w:type="dxa"/>
            <w:bottom w:w="0" w:type="dxa"/>
            <w:right w:w="108" w:type="dxa"/>
          </w:tblCellMar>
        </w:tblPrEx>
        <w:trPr>
          <w:trHeight w:val="910" w:hRule="atLeast"/>
        </w:trPr>
        <w:tc>
          <w:tcPr>
            <w:tcW w:w="3052" w:type="dxa"/>
            <w:gridSpan w:val="3"/>
            <w:tcBorders>
              <w:top w:val="single" w:color="auto" w:sz="4" w:space="0"/>
              <w:left w:val="single" w:color="auto" w:sz="4" w:space="0"/>
              <w:bottom w:val="single" w:color="auto" w:sz="4" w:space="0"/>
              <w:right w:val="single" w:color="auto" w:sz="4" w:space="0"/>
            </w:tcBorders>
            <w:vAlign w:val="center"/>
          </w:tcPr>
          <w:p w14:paraId="6058EFD0">
            <w:pPr>
              <w:widowControl/>
              <w:jc w:val="center"/>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分值组成（总分100分）</w:t>
            </w:r>
          </w:p>
        </w:tc>
        <w:tc>
          <w:tcPr>
            <w:tcW w:w="7247" w:type="dxa"/>
            <w:tcBorders>
              <w:top w:val="single" w:color="auto" w:sz="4" w:space="0"/>
              <w:left w:val="nil"/>
              <w:bottom w:val="single" w:color="auto" w:sz="4" w:space="0"/>
              <w:right w:val="single" w:color="auto" w:sz="4" w:space="0"/>
            </w:tcBorders>
            <w:vAlign w:val="center"/>
          </w:tcPr>
          <w:p w14:paraId="0551C328">
            <w:pPr>
              <w:widowControl/>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商务部分：</w:t>
            </w:r>
            <w:r>
              <w:rPr>
                <w:rFonts w:hint="eastAsia" w:ascii="方正仿宋_GBK" w:hAnsi="方正仿宋_GBK" w:eastAsia="方正仿宋_GBK" w:cs="方正仿宋_GBK"/>
                <w:sz w:val="28"/>
                <w:szCs w:val="28"/>
                <w:highlight w:val="none"/>
                <w:u w:val="single"/>
                <w:lang w:val="en-US" w:eastAsia="zh-CN"/>
              </w:rPr>
              <w:t>20</w:t>
            </w:r>
            <w:r>
              <w:rPr>
                <w:rFonts w:hint="eastAsia" w:ascii="方正仿宋_GBK" w:hAnsi="方正仿宋_GBK" w:eastAsia="方正仿宋_GBK" w:cs="方正仿宋_GBK"/>
                <w:sz w:val="28"/>
                <w:szCs w:val="28"/>
                <w:highlight w:val="none"/>
              </w:rPr>
              <w:t>分</w:t>
            </w:r>
            <w:r>
              <w:rPr>
                <w:rFonts w:hint="eastAsia" w:ascii="方正仿宋_GBK" w:hAnsi="方正仿宋_GBK" w:eastAsia="方正仿宋_GBK" w:cs="方正仿宋_GBK"/>
                <w:sz w:val="28"/>
                <w:szCs w:val="28"/>
                <w:highlight w:val="none"/>
                <w:lang w:val="en-US" w:eastAsia="zh-CN"/>
              </w:rPr>
              <w:t xml:space="preserve">  </w:t>
            </w:r>
            <w:r>
              <w:rPr>
                <w:rFonts w:hint="eastAsia" w:ascii="方正仿宋_GBK" w:hAnsi="方正仿宋_GBK" w:eastAsia="方正仿宋_GBK" w:cs="方正仿宋_GBK"/>
                <w:sz w:val="28"/>
                <w:szCs w:val="28"/>
                <w:highlight w:val="none"/>
              </w:rPr>
              <w:t>技术部分：</w:t>
            </w:r>
            <w:r>
              <w:rPr>
                <w:rFonts w:hint="eastAsia" w:ascii="方正仿宋_GBK" w:hAnsi="方正仿宋_GBK" w:eastAsia="方正仿宋_GBK" w:cs="方正仿宋_GBK"/>
                <w:sz w:val="28"/>
                <w:szCs w:val="28"/>
                <w:highlight w:val="none"/>
                <w:lang w:val="en-US" w:eastAsia="zh-CN"/>
              </w:rPr>
              <w:t>5</w:t>
            </w:r>
            <w:r>
              <w:rPr>
                <w:rFonts w:hint="eastAsia" w:ascii="方正仿宋_GBK" w:hAnsi="方正仿宋_GBK" w:eastAsia="方正仿宋_GBK" w:cs="方正仿宋_GBK"/>
                <w:sz w:val="28"/>
                <w:szCs w:val="28"/>
                <w:highlight w:val="none"/>
                <w:u w:val="single"/>
                <w:lang w:val="en-US" w:eastAsia="zh-CN"/>
              </w:rPr>
              <w:t>0</w:t>
            </w:r>
            <w:r>
              <w:rPr>
                <w:rFonts w:hint="eastAsia" w:ascii="方正仿宋_GBK" w:hAnsi="方正仿宋_GBK" w:eastAsia="方正仿宋_GBK" w:cs="方正仿宋_GBK"/>
                <w:sz w:val="28"/>
                <w:szCs w:val="28"/>
                <w:highlight w:val="none"/>
              </w:rPr>
              <w:t>分</w:t>
            </w:r>
            <w:r>
              <w:rPr>
                <w:rFonts w:hint="eastAsia" w:ascii="方正仿宋_GBK" w:hAnsi="方正仿宋_GBK" w:eastAsia="方正仿宋_GBK" w:cs="方正仿宋_GBK"/>
                <w:sz w:val="28"/>
                <w:szCs w:val="28"/>
                <w:highlight w:val="none"/>
                <w:lang w:val="en-US" w:eastAsia="zh-CN"/>
              </w:rPr>
              <w:t xml:space="preserve">  </w:t>
            </w:r>
            <w:r>
              <w:rPr>
                <w:rFonts w:hint="eastAsia" w:ascii="方正仿宋_GBK" w:hAnsi="方正仿宋_GBK" w:eastAsia="方正仿宋_GBK" w:cs="方正仿宋_GBK"/>
                <w:sz w:val="28"/>
                <w:szCs w:val="28"/>
                <w:highlight w:val="none"/>
              </w:rPr>
              <w:t>报价部分：</w:t>
            </w:r>
            <w:r>
              <w:rPr>
                <w:rFonts w:hint="eastAsia" w:ascii="方正仿宋_GBK" w:hAnsi="方正仿宋_GBK" w:eastAsia="方正仿宋_GBK" w:cs="方正仿宋_GBK"/>
                <w:sz w:val="28"/>
                <w:szCs w:val="28"/>
                <w:highlight w:val="none"/>
                <w:u w:val="single"/>
                <w:lang w:val="en-US" w:eastAsia="zh-CN"/>
              </w:rPr>
              <w:t>3</w:t>
            </w:r>
            <w:r>
              <w:rPr>
                <w:rFonts w:hint="eastAsia" w:ascii="方正仿宋_GBK" w:hAnsi="方正仿宋_GBK" w:eastAsia="方正仿宋_GBK" w:cs="方正仿宋_GBK"/>
                <w:sz w:val="28"/>
                <w:szCs w:val="28"/>
                <w:highlight w:val="none"/>
                <w:u w:val="single"/>
                <w:lang w:val="en-US"/>
              </w:rPr>
              <w:t>0</w:t>
            </w:r>
            <w:r>
              <w:rPr>
                <w:rFonts w:hint="eastAsia" w:ascii="方正仿宋_GBK" w:hAnsi="方正仿宋_GBK" w:eastAsia="方正仿宋_GBK" w:cs="方正仿宋_GBK"/>
                <w:sz w:val="28"/>
                <w:szCs w:val="28"/>
                <w:highlight w:val="none"/>
              </w:rPr>
              <w:t>分</w:t>
            </w:r>
          </w:p>
        </w:tc>
      </w:tr>
      <w:tr w14:paraId="3CCB72F6">
        <w:tblPrEx>
          <w:tblCellMar>
            <w:top w:w="0" w:type="dxa"/>
            <w:left w:w="108" w:type="dxa"/>
            <w:bottom w:w="0" w:type="dxa"/>
            <w:right w:w="108" w:type="dxa"/>
          </w:tblCellMar>
        </w:tblPrEx>
        <w:trPr>
          <w:trHeight w:val="616" w:hRule="atLeast"/>
        </w:trPr>
        <w:tc>
          <w:tcPr>
            <w:tcW w:w="1535" w:type="dxa"/>
            <w:tcBorders>
              <w:top w:val="single" w:color="auto" w:sz="4" w:space="0"/>
              <w:left w:val="single" w:color="auto" w:sz="4" w:space="0"/>
              <w:bottom w:val="single" w:color="auto" w:sz="4" w:space="0"/>
              <w:right w:val="single" w:color="auto" w:sz="4" w:space="0"/>
            </w:tcBorders>
            <w:vAlign w:val="center"/>
          </w:tcPr>
          <w:p w14:paraId="750B974C">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评审项目</w:t>
            </w:r>
          </w:p>
        </w:tc>
        <w:tc>
          <w:tcPr>
            <w:tcW w:w="843" w:type="dxa"/>
            <w:tcBorders>
              <w:top w:val="single" w:color="auto" w:sz="4" w:space="0"/>
              <w:left w:val="nil"/>
              <w:bottom w:val="single" w:color="auto" w:sz="4" w:space="0"/>
              <w:right w:val="nil"/>
            </w:tcBorders>
            <w:vAlign w:val="center"/>
          </w:tcPr>
          <w:p w14:paraId="45822318">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评审内容</w:t>
            </w:r>
          </w:p>
        </w:tc>
        <w:tc>
          <w:tcPr>
            <w:tcW w:w="674" w:type="dxa"/>
            <w:tcBorders>
              <w:top w:val="single" w:color="auto" w:sz="4" w:space="0"/>
              <w:left w:val="single" w:color="auto" w:sz="4" w:space="0"/>
              <w:bottom w:val="single" w:color="auto" w:sz="4" w:space="0"/>
              <w:right w:val="single" w:color="auto" w:sz="4" w:space="0"/>
            </w:tcBorders>
            <w:vAlign w:val="center"/>
          </w:tcPr>
          <w:p w14:paraId="776943E8">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分数</w:t>
            </w:r>
          </w:p>
        </w:tc>
        <w:tc>
          <w:tcPr>
            <w:tcW w:w="7247" w:type="dxa"/>
            <w:tcBorders>
              <w:top w:val="single" w:color="auto" w:sz="4" w:space="0"/>
              <w:left w:val="nil"/>
              <w:bottom w:val="single" w:color="auto" w:sz="4" w:space="0"/>
              <w:right w:val="single" w:color="auto" w:sz="4" w:space="0"/>
            </w:tcBorders>
            <w:vAlign w:val="center"/>
          </w:tcPr>
          <w:p w14:paraId="1A3E1DFD">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评审依据</w:t>
            </w:r>
          </w:p>
        </w:tc>
      </w:tr>
      <w:tr w14:paraId="78B47811">
        <w:tblPrEx>
          <w:tblCellMar>
            <w:top w:w="0" w:type="dxa"/>
            <w:left w:w="108" w:type="dxa"/>
            <w:bottom w:w="0" w:type="dxa"/>
            <w:right w:w="108" w:type="dxa"/>
          </w:tblCellMar>
        </w:tblPrEx>
        <w:trPr>
          <w:trHeight w:val="1256" w:hRule="atLeast"/>
        </w:trPr>
        <w:tc>
          <w:tcPr>
            <w:tcW w:w="1535" w:type="dxa"/>
            <w:vMerge w:val="restart"/>
            <w:tcBorders>
              <w:top w:val="nil"/>
              <w:left w:val="single" w:color="auto" w:sz="4" w:space="0"/>
              <w:right w:val="single" w:color="auto" w:sz="4" w:space="0"/>
            </w:tcBorders>
            <w:vAlign w:val="center"/>
          </w:tcPr>
          <w:p w14:paraId="2666E6C8">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商务部分</w:t>
            </w:r>
          </w:p>
          <w:p w14:paraId="61DB9846">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rPr>
              <w:t>20</w:t>
            </w:r>
            <w:r>
              <w:rPr>
                <w:rFonts w:hint="eastAsia" w:ascii="仿宋" w:hAnsi="仿宋" w:eastAsia="仿宋" w:cs="仿宋"/>
                <w:sz w:val="28"/>
                <w:szCs w:val="28"/>
                <w:highlight w:val="none"/>
              </w:rPr>
              <w:t>分）</w:t>
            </w:r>
          </w:p>
        </w:tc>
        <w:tc>
          <w:tcPr>
            <w:tcW w:w="843" w:type="dxa"/>
            <w:tcBorders>
              <w:top w:val="nil"/>
              <w:left w:val="nil"/>
              <w:bottom w:val="single" w:color="auto" w:sz="4" w:space="0"/>
              <w:right w:val="single" w:color="auto" w:sz="4" w:space="0"/>
            </w:tcBorders>
            <w:vAlign w:val="center"/>
          </w:tcPr>
          <w:p w14:paraId="563A61B4">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rPr>
              <w:t>类似业绩</w:t>
            </w:r>
          </w:p>
        </w:tc>
        <w:tc>
          <w:tcPr>
            <w:tcW w:w="674" w:type="dxa"/>
            <w:tcBorders>
              <w:top w:val="nil"/>
              <w:left w:val="nil"/>
              <w:bottom w:val="single" w:color="auto" w:sz="4" w:space="0"/>
              <w:right w:val="single" w:color="auto" w:sz="4" w:space="0"/>
            </w:tcBorders>
            <w:vAlign w:val="center"/>
          </w:tcPr>
          <w:p w14:paraId="21318968">
            <w:pPr>
              <w:widowControl/>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rPr>
              <w:t>1</w:t>
            </w:r>
            <w:r>
              <w:rPr>
                <w:rFonts w:hint="eastAsia" w:ascii="仿宋" w:hAnsi="仿宋" w:eastAsia="仿宋" w:cs="仿宋"/>
                <w:sz w:val="28"/>
                <w:szCs w:val="28"/>
                <w:highlight w:val="none"/>
                <w:lang w:val="en-US" w:eastAsia="zh-CN"/>
              </w:rPr>
              <w:t>2</w:t>
            </w:r>
          </w:p>
        </w:tc>
        <w:tc>
          <w:tcPr>
            <w:tcW w:w="7247" w:type="dxa"/>
            <w:tcBorders>
              <w:top w:val="nil"/>
              <w:left w:val="nil"/>
              <w:bottom w:val="single" w:color="auto" w:sz="4" w:space="0"/>
              <w:right w:val="single" w:color="auto" w:sz="4" w:space="0"/>
            </w:tcBorders>
            <w:vAlign w:val="center"/>
          </w:tcPr>
          <w:p w14:paraId="55C50F7D">
            <w:pPr>
              <w:rPr>
                <w:rFonts w:hint="eastAsia" w:ascii="仿宋" w:hAnsi="仿宋" w:eastAsia="仿宋" w:cs="仿宋"/>
                <w:sz w:val="28"/>
                <w:szCs w:val="28"/>
                <w:highlight w:val="none"/>
              </w:rPr>
            </w:pPr>
            <w:r>
              <w:rPr>
                <w:rFonts w:hint="eastAsia" w:ascii="仿宋" w:hAnsi="仿宋" w:eastAsia="仿宋" w:cs="仿宋"/>
                <w:sz w:val="28"/>
                <w:szCs w:val="28"/>
                <w:highlight w:val="none"/>
              </w:rPr>
              <w:t>近三年202</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年1月1日至今具有</w:t>
            </w:r>
            <w:r>
              <w:rPr>
                <w:rFonts w:hint="eastAsia" w:ascii="仿宋" w:hAnsi="仿宋" w:eastAsia="仿宋" w:cs="仿宋"/>
                <w:sz w:val="28"/>
                <w:szCs w:val="28"/>
                <w:highlight w:val="none"/>
                <w:lang w:val="en-US"/>
              </w:rPr>
              <w:t>类似</w:t>
            </w:r>
            <w:r>
              <w:rPr>
                <w:rFonts w:hint="eastAsia" w:ascii="仿宋" w:hAnsi="仿宋" w:eastAsia="仿宋" w:cs="仿宋"/>
                <w:sz w:val="28"/>
                <w:szCs w:val="28"/>
                <w:highlight w:val="none"/>
              </w:rPr>
              <w:t>业绩，有一项得</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分，最多得1</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 xml:space="preserve">分。 </w:t>
            </w:r>
          </w:p>
          <w:p w14:paraId="7F27FC09">
            <w:pPr>
              <w:rPr>
                <w:rFonts w:hint="eastAsia" w:ascii="仿宋" w:hAnsi="仿宋" w:eastAsia="仿宋" w:cs="仿宋"/>
                <w:sz w:val="28"/>
                <w:szCs w:val="28"/>
                <w:highlight w:val="none"/>
              </w:rPr>
            </w:pPr>
            <w:r>
              <w:rPr>
                <w:rFonts w:hint="eastAsia" w:ascii="仿宋" w:hAnsi="仿宋" w:eastAsia="仿宋" w:cs="仿宋"/>
                <w:sz w:val="28"/>
                <w:szCs w:val="28"/>
                <w:highlight w:val="none"/>
              </w:rPr>
              <w:t>（注: 评审时须提供业绩中标通知书</w:t>
            </w:r>
            <w:r>
              <w:rPr>
                <w:rFonts w:hint="eastAsia" w:ascii="仿宋" w:hAnsi="仿宋" w:eastAsia="仿宋" w:cs="仿宋"/>
                <w:sz w:val="28"/>
                <w:szCs w:val="28"/>
                <w:highlight w:val="none"/>
                <w:lang w:val="en-US" w:eastAsia="zh-CN"/>
              </w:rPr>
              <w:t>和</w:t>
            </w:r>
            <w:r>
              <w:rPr>
                <w:rFonts w:hint="eastAsia" w:ascii="仿宋" w:hAnsi="仿宋" w:eastAsia="仿宋" w:cs="仿宋"/>
                <w:sz w:val="28"/>
                <w:szCs w:val="28"/>
                <w:highlight w:val="none"/>
                <w:lang w:eastAsia="zh-CN"/>
              </w:rPr>
              <w:t>设计</w:t>
            </w:r>
            <w:r>
              <w:rPr>
                <w:rFonts w:hint="eastAsia" w:ascii="仿宋" w:hAnsi="仿宋" w:eastAsia="仿宋" w:cs="仿宋"/>
                <w:sz w:val="28"/>
                <w:szCs w:val="28"/>
                <w:highlight w:val="none"/>
              </w:rPr>
              <w:t>合同）。</w:t>
            </w:r>
          </w:p>
        </w:tc>
      </w:tr>
      <w:tr w14:paraId="79ABE03E">
        <w:tblPrEx>
          <w:tblCellMar>
            <w:top w:w="0" w:type="dxa"/>
            <w:left w:w="108" w:type="dxa"/>
            <w:bottom w:w="0" w:type="dxa"/>
            <w:right w:w="108" w:type="dxa"/>
          </w:tblCellMar>
        </w:tblPrEx>
        <w:trPr>
          <w:trHeight w:val="1256" w:hRule="atLeast"/>
        </w:trPr>
        <w:tc>
          <w:tcPr>
            <w:tcW w:w="1535" w:type="dxa"/>
            <w:vMerge w:val="continue"/>
            <w:tcBorders>
              <w:left w:val="single" w:color="auto" w:sz="4" w:space="0"/>
              <w:right w:val="single" w:color="auto" w:sz="4" w:space="0"/>
            </w:tcBorders>
            <w:vAlign w:val="center"/>
          </w:tcPr>
          <w:p w14:paraId="7EA9DB81">
            <w:pPr>
              <w:widowControl/>
              <w:jc w:val="center"/>
              <w:rPr>
                <w:rFonts w:hint="eastAsia" w:ascii="仿宋" w:hAnsi="仿宋" w:eastAsia="仿宋" w:cs="仿宋"/>
                <w:sz w:val="28"/>
                <w:szCs w:val="28"/>
                <w:highlight w:val="none"/>
              </w:rPr>
            </w:pPr>
          </w:p>
        </w:tc>
        <w:tc>
          <w:tcPr>
            <w:tcW w:w="843" w:type="dxa"/>
            <w:tcBorders>
              <w:top w:val="nil"/>
              <w:left w:val="nil"/>
              <w:bottom w:val="single" w:color="auto" w:sz="4" w:space="0"/>
              <w:right w:val="single" w:color="auto" w:sz="4" w:space="0"/>
            </w:tcBorders>
            <w:vAlign w:val="center"/>
          </w:tcPr>
          <w:p w14:paraId="007E9EB3">
            <w:pPr>
              <w:widowControl/>
              <w:jc w:val="center"/>
              <w:rPr>
                <w:rFonts w:hint="eastAsia" w:ascii="仿宋" w:hAnsi="仿宋" w:eastAsia="仿宋" w:cs="仿宋"/>
                <w:sz w:val="28"/>
                <w:szCs w:val="28"/>
                <w:highlight w:val="none"/>
                <w:lang w:val="en-US"/>
              </w:rPr>
            </w:pPr>
            <w:r>
              <w:rPr>
                <w:rFonts w:hint="eastAsia" w:ascii="仿宋" w:hAnsi="仿宋" w:eastAsia="仿宋" w:cs="仿宋"/>
                <w:spacing w:val="8"/>
                <w:sz w:val="28"/>
                <w:szCs w:val="28"/>
                <w:highlight w:val="none"/>
              </w:rPr>
              <w:t>工程</w:t>
            </w:r>
            <w:r>
              <w:rPr>
                <w:rFonts w:hint="eastAsia" w:ascii="仿宋" w:hAnsi="仿宋" w:eastAsia="仿宋" w:cs="仿宋"/>
                <w:color w:val="auto"/>
                <w:spacing w:val="8"/>
                <w:sz w:val="28"/>
                <w:szCs w:val="28"/>
                <w:highlight w:val="none"/>
              </w:rPr>
              <w:t>师</w:t>
            </w:r>
            <w:r>
              <w:rPr>
                <w:rFonts w:hint="eastAsia" w:ascii="仿宋" w:hAnsi="仿宋" w:eastAsia="仿宋" w:cs="仿宋"/>
                <w:spacing w:val="8"/>
                <w:sz w:val="28"/>
                <w:szCs w:val="28"/>
                <w:highlight w:val="none"/>
              </w:rPr>
              <w:t>资格</w:t>
            </w:r>
          </w:p>
        </w:tc>
        <w:tc>
          <w:tcPr>
            <w:tcW w:w="674" w:type="dxa"/>
            <w:tcBorders>
              <w:top w:val="nil"/>
              <w:left w:val="nil"/>
              <w:bottom w:val="single" w:color="auto" w:sz="4" w:space="0"/>
              <w:right w:val="single" w:color="auto" w:sz="4" w:space="0"/>
            </w:tcBorders>
            <w:vAlign w:val="center"/>
          </w:tcPr>
          <w:p w14:paraId="7D82618E">
            <w:pPr>
              <w:widowControl/>
              <w:jc w:val="center"/>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rPr>
              <w:t>8</w:t>
            </w:r>
          </w:p>
        </w:tc>
        <w:tc>
          <w:tcPr>
            <w:tcW w:w="7247" w:type="dxa"/>
            <w:tcBorders>
              <w:top w:val="nil"/>
              <w:left w:val="nil"/>
              <w:bottom w:val="single" w:color="auto" w:sz="4" w:space="0"/>
              <w:right w:val="single" w:color="auto" w:sz="4" w:space="0"/>
            </w:tcBorders>
            <w:vAlign w:val="center"/>
          </w:tcPr>
          <w:p w14:paraId="67E5E6C9">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拟派人员中，具有注册建筑师执业资格的得2分；具有注册结构工程师执业资格的得2分；具有注册电子工程师执业资格的得2分；具有造价工程师执业资格的得2分。</w:t>
            </w:r>
          </w:p>
          <w:p w14:paraId="5195287A">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同一人同时具备以上两项以上执业资格的，只得4分。</w:t>
            </w:r>
          </w:p>
        </w:tc>
      </w:tr>
      <w:tr w14:paraId="261362E5">
        <w:tblPrEx>
          <w:tblCellMar>
            <w:top w:w="0" w:type="dxa"/>
            <w:left w:w="108" w:type="dxa"/>
            <w:bottom w:w="0" w:type="dxa"/>
            <w:right w:w="108" w:type="dxa"/>
          </w:tblCellMar>
        </w:tblPrEx>
        <w:trPr>
          <w:trHeight w:val="4707" w:hRule="atLeast"/>
        </w:trPr>
        <w:tc>
          <w:tcPr>
            <w:tcW w:w="1535" w:type="dxa"/>
            <w:tcBorders>
              <w:top w:val="single" w:color="auto" w:sz="4" w:space="0"/>
              <w:left w:val="single" w:color="auto" w:sz="4" w:space="0"/>
              <w:right w:val="single" w:color="auto" w:sz="4" w:space="0"/>
            </w:tcBorders>
            <w:vAlign w:val="center"/>
          </w:tcPr>
          <w:p w14:paraId="268182D0">
            <w:pPr>
              <w:widowControl/>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技术部分（</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val="en-US"/>
              </w:rPr>
              <w:t>0</w:t>
            </w:r>
            <w:r>
              <w:rPr>
                <w:rFonts w:hint="eastAsia" w:ascii="仿宋" w:hAnsi="仿宋" w:eastAsia="仿宋" w:cs="仿宋"/>
                <w:sz w:val="28"/>
                <w:szCs w:val="28"/>
                <w:highlight w:val="none"/>
                <w:lang w:val="en-US" w:eastAsia="zh-CN"/>
              </w:rPr>
              <w:t>分</w:t>
            </w:r>
            <w:r>
              <w:rPr>
                <w:rFonts w:hint="eastAsia" w:ascii="仿宋" w:hAnsi="仿宋" w:eastAsia="仿宋" w:cs="仿宋"/>
                <w:sz w:val="28"/>
                <w:szCs w:val="28"/>
                <w:highlight w:val="none"/>
              </w:rPr>
              <w:t>）</w:t>
            </w:r>
          </w:p>
        </w:tc>
        <w:tc>
          <w:tcPr>
            <w:tcW w:w="843" w:type="dxa"/>
            <w:tcBorders>
              <w:top w:val="single" w:color="auto" w:sz="4" w:space="0"/>
              <w:left w:val="single" w:color="auto" w:sz="4" w:space="0"/>
              <w:bottom w:val="single" w:color="auto" w:sz="4" w:space="0"/>
              <w:right w:val="single" w:color="auto" w:sz="4" w:space="0"/>
            </w:tcBorders>
            <w:vAlign w:val="center"/>
          </w:tcPr>
          <w:p w14:paraId="3DF9E50E">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rPr>
              <w:t>整体方案</w:t>
            </w:r>
          </w:p>
        </w:tc>
        <w:tc>
          <w:tcPr>
            <w:tcW w:w="674" w:type="dxa"/>
            <w:tcBorders>
              <w:top w:val="single" w:color="auto" w:sz="4" w:space="0"/>
              <w:left w:val="single" w:color="auto" w:sz="4" w:space="0"/>
              <w:bottom w:val="single" w:color="auto" w:sz="4" w:space="0"/>
              <w:right w:val="single" w:color="auto" w:sz="4" w:space="0"/>
            </w:tcBorders>
            <w:vAlign w:val="center"/>
          </w:tcPr>
          <w:p w14:paraId="321380F7">
            <w:pPr>
              <w:widowControl/>
              <w:jc w:val="center"/>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rPr>
              <w:t>50</w:t>
            </w:r>
          </w:p>
        </w:tc>
        <w:tc>
          <w:tcPr>
            <w:tcW w:w="7247" w:type="dxa"/>
            <w:tcBorders>
              <w:top w:val="single" w:color="auto" w:sz="4" w:space="0"/>
              <w:left w:val="single" w:color="auto" w:sz="4" w:space="0"/>
              <w:bottom w:val="single" w:color="auto" w:sz="4" w:space="0"/>
              <w:right w:val="single" w:color="auto" w:sz="4" w:space="0"/>
            </w:tcBorders>
            <w:vAlign w:val="center"/>
          </w:tcPr>
          <w:p w14:paraId="75B501BB">
            <w:pPr>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rPr>
              <w:t>根据项目实际需求和特殊性制定完整、科学、符合项目需求的服务方案，包括但不限于：①</w:t>
            </w:r>
            <w:r>
              <w:rPr>
                <w:rFonts w:hint="eastAsia" w:ascii="仿宋" w:hAnsi="仿宋" w:eastAsia="仿宋" w:cs="仿宋"/>
                <w:sz w:val="28"/>
                <w:szCs w:val="28"/>
                <w:highlight w:val="none"/>
                <w:lang w:val="en-US" w:eastAsia="zh-CN"/>
              </w:rPr>
              <w:t>设计</w:t>
            </w:r>
            <w:r>
              <w:rPr>
                <w:rFonts w:hint="eastAsia" w:ascii="仿宋" w:hAnsi="仿宋" w:eastAsia="仿宋" w:cs="仿宋"/>
                <w:sz w:val="28"/>
                <w:szCs w:val="28"/>
                <w:highlight w:val="none"/>
                <w:lang w:val="en-US"/>
              </w:rPr>
              <w:t>范围、②</w:t>
            </w:r>
            <w:r>
              <w:rPr>
                <w:rFonts w:hint="eastAsia" w:ascii="仿宋" w:hAnsi="仿宋" w:eastAsia="仿宋" w:cs="仿宋"/>
                <w:sz w:val="28"/>
                <w:szCs w:val="28"/>
                <w:highlight w:val="none"/>
                <w:lang w:val="en-US" w:eastAsia="zh-CN"/>
              </w:rPr>
              <w:t>设计</w:t>
            </w:r>
            <w:r>
              <w:rPr>
                <w:rFonts w:hint="eastAsia" w:ascii="仿宋" w:hAnsi="仿宋" w:eastAsia="仿宋" w:cs="仿宋"/>
                <w:sz w:val="28"/>
                <w:szCs w:val="28"/>
                <w:highlight w:val="none"/>
                <w:lang w:val="en-US"/>
              </w:rPr>
              <w:t>服务、 ③</w:t>
            </w:r>
            <w:r>
              <w:rPr>
                <w:rFonts w:hint="eastAsia" w:ascii="仿宋" w:hAnsi="仿宋" w:eastAsia="仿宋" w:cs="仿宋"/>
                <w:sz w:val="28"/>
                <w:szCs w:val="28"/>
                <w:highlight w:val="none"/>
                <w:lang w:val="en-US" w:eastAsia="zh-CN"/>
              </w:rPr>
              <w:t>设计</w:t>
            </w:r>
            <w:r>
              <w:rPr>
                <w:rFonts w:hint="eastAsia" w:ascii="仿宋" w:hAnsi="仿宋" w:eastAsia="仿宋" w:cs="仿宋"/>
                <w:sz w:val="28"/>
                <w:szCs w:val="28"/>
                <w:highlight w:val="none"/>
                <w:lang w:val="en-US"/>
              </w:rPr>
              <w:t>质量控制措施、④</w:t>
            </w:r>
            <w:r>
              <w:rPr>
                <w:rFonts w:hint="eastAsia" w:ascii="仿宋" w:hAnsi="仿宋" w:eastAsia="仿宋" w:cs="仿宋"/>
                <w:sz w:val="28"/>
                <w:szCs w:val="28"/>
                <w:highlight w:val="none"/>
                <w:lang w:val="en-US" w:eastAsia="zh-CN"/>
              </w:rPr>
              <w:t>设计</w:t>
            </w:r>
            <w:r>
              <w:rPr>
                <w:rFonts w:hint="eastAsia" w:ascii="仿宋" w:hAnsi="仿宋" w:eastAsia="仿宋" w:cs="仿宋"/>
                <w:sz w:val="28"/>
                <w:szCs w:val="28"/>
                <w:highlight w:val="none"/>
                <w:lang w:val="en-US"/>
              </w:rPr>
              <w:t>服务的造价控制措施、⑤</w:t>
            </w:r>
            <w:r>
              <w:rPr>
                <w:rFonts w:hint="eastAsia" w:ascii="仿宋" w:hAnsi="仿宋" w:eastAsia="仿宋" w:cs="仿宋"/>
                <w:sz w:val="28"/>
                <w:szCs w:val="28"/>
                <w:highlight w:val="none"/>
                <w:lang w:val="en-US" w:eastAsia="zh-CN"/>
              </w:rPr>
              <w:t>设计</w:t>
            </w:r>
            <w:r>
              <w:rPr>
                <w:rFonts w:hint="eastAsia" w:ascii="仿宋" w:hAnsi="仿宋" w:eastAsia="仿宋" w:cs="仿宋"/>
                <w:sz w:val="28"/>
                <w:szCs w:val="28"/>
                <w:highlight w:val="none"/>
                <w:lang w:val="en-US"/>
              </w:rPr>
              <w:t>服务的进度控制措施、⑥</w:t>
            </w:r>
            <w:r>
              <w:rPr>
                <w:rFonts w:hint="eastAsia" w:ascii="仿宋" w:hAnsi="仿宋" w:eastAsia="仿宋" w:cs="仿宋"/>
                <w:sz w:val="28"/>
                <w:szCs w:val="28"/>
                <w:highlight w:val="none"/>
                <w:lang w:val="en-US" w:eastAsia="zh-CN"/>
              </w:rPr>
              <w:t>设计</w:t>
            </w:r>
            <w:r>
              <w:rPr>
                <w:rFonts w:hint="eastAsia" w:ascii="仿宋" w:hAnsi="仿宋" w:eastAsia="仿宋" w:cs="仿宋"/>
                <w:sz w:val="28"/>
                <w:szCs w:val="28"/>
                <w:highlight w:val="none"/>
                <w:lang w:val="en-US"/>
              </w:rPr>
              <w:t>服务的安全管理职责、⑦</w:t>
            </w:r>
            <w:r>
              <w:rPr>
                <w:rFonts w:hint="eastAsia" w:ascii="仿宋" w:hAnsi="仿宋" w:eastAsia="仿宋" w:cs="仿宋"/>
                <w:sz w:val="28"/>
                <w:szCs w:val="28"/>
                <w:highlight w:val="none"/>
                <w:lang w:val="en-US" w:eastAsia="zh-CN"/>
              </w:rPr>
              <w:t>设计</w:t>
            </w:r>
            <w:r>
              <w:rPr>
                <w:rFonts w:hint="eastAsia" w:ascii="仿宋" w:hAnsi="仿宋" w:eastAsia="仿宋" w:cs="仿宋"/>
                <w:sz w:val="28"/>
                <w:szCs w:val="28"/>
                <w:highlight w:val="none"/>
                <w:lang w:val="en-US"/>
              </w:rPr>
              <w:t>服务的工作制度和工作设施情况、⑧对本项目重点难点分析内容及应对方案、⑨</w:t>
            </w:r>
            <w:r>
              <w:rPr>
                <w:rFonts w:hint="eastAsia" w:ascii="仿宋" w:hAnsi="仿宋" w:eastAsia="仿宋" w:cs="仿宋"/>
                <w:sz w:val="28"/>
                <w:szCs w:val="28"/>
                <w:highlight w:val="none"/>
                <w:lang w:val="en-US" w:eastAsia="zh-CN"/>
              </w:rPr>
              <w:t>拟派团队和人员分工</w:t>
            </w:r>
            <w:r>
              <w:rPr>
                <w:rFonts w:hint="eastAsia" w:ascii="仿宋" w:hAnsi="仿宋" w:eastAsia="仿宋" w:cs="仿宋"/>
                <w:sz w:val="28"/>
                <w:szCs w:val="28"/>
                <w:highlight w:val="none"/>
                <w:lang w:val="en-US"/>
              </w:rPr>
              <w:t>、⑩组织协调措施等。以上内容每小项得5分，最高得50分。小项中每有</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lang w:val="en-US"/>
              </w:rPr>
              <w:t>处不满足或不符合的扣</w:t>
            </w:r>
            <w:r>
              <w:rPr>
                <w:rFonts w:hint="eastAsia" w:ascii="仿宋" w:hAnsi="仿宋" w:eastAsia="仿宋" w:cs="仿宋"/>
                <w:sz w:val="28"/>
                <w:szCs w:val="28"/>
                <w:highlight w:val="none"/>
                <w:lang w:val="en-US" w:eastAsia="zh-CN"/>
              </w:rPr>
              <w:t>2.5</w:t>
            </w:r>
            <w:r>
              <w:rPr>
                <w:rFonts w:hint="eastAsia" w:ascii="仿宋" w:hAnsi="仿宋" w:eastAsia="仿宋" w:cs="仿宋"/>
                <w:sz w:val="28"/>
                <w:szCs w:val="28"/>
                <w:highlight w:val="none"/>
                <w:lang w:val="en-US"/>
              </w:rPr>
              <w:t>分，扣完为止。</w:t>
            </w:r>
          </w:p>
          <w:p w14:paraId="32F38092">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rPr>
              <w:t>不满足或不符合指：不符合项目的实际情况；与采购需求无关；内容前后不一致；方案内容逻辑矛盾、技术标准或规范引用错误、内容胡乱拼凑等。为方便专家评审，各潜在供应商在编制项目实施方案时，内容须清晰明了。</w:t>
            </w:r>
          </w:p>
        </w:tc>
      </w:tr>
      <w:tr w14:paraId="0EC62AD0">
        <w:tblPrEx>
          <w:tblCellMar>
            <w:top w:w="0" w:type="dxa"/>
            <w:left w:w="108" w:type="dxa"/>
            <w:bottom w:w="0" w:type="dxa"/>
            <w:right w:w="108" w:type="dxa"/>
          </w:tblCellMar>
        </w:tblPrEx>
        <w:trPr>
          <w:trHeight w:val="1304" w:hRule="atLeast"/>
        </w:trPr>
        <w:tc>
          <w:tcPr>
            <w:tcW w:w="2378" w:type="dxa"/>
            <w:gridSpan w:val="2"/>
            <w:tcBorders>
              <w:top w:val="single" w:color="auto" w:sz="4" w:space="0"/>
              <w:left w:val="single" w:color="auto" w:sz="4" w:space="0"/>
              <w:bottom w:val="single" w:color="auto" w:sz="4" w:space="0"/>
              <w:right w:val="single" w:color="000000" w:sz="4" w:space="0"/>
            </w:tcBorders>
            <w:vAlign w:val="center"/>
          </w:tcPr>
          <w:p w14:paraId="3E1CE8CD">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价格部分合计</w:t>
            </w:r>
          </w:p>
          <w:p w14:paraId="193EABE5">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val="en-US"/>
              </w:rPr>
              <w:t>0</w:t>
            </w:r>
            <w:r>
              <w:rPr>
                <w:rFonts w:hint="eastAsia" w:ascii="仿宋" w:hAnsi="仿宋" w:eastAsia="仿宋" w:cs="仿宋"/>
                <w:sz w:val="28"/>
                <w:szCs w:val="28"/>
                <w:highlight w:val="none"/>
              </w:rPr>
              <w:t>分）</w:t>
            </w:r>
          </w:p>
        </w:tc>
        <w:tc>
          <w:tcPr>
            <w:tcW w:w="674" w:type="dxa"/>
            <w:tcBorders>
              <w:top w:val="nil"/>
              <w:left w:val="nil"/>
              <w:bottom w:val="single" w:color="auto" w:sz="4" w:space="0"/>
              <w:right w:val="single" w:color="auto" w:sz="4" w:space="0"/>
            </w:tcBorders>
            <w:vAlign w:val="center"/>
          </w:tcPr>
          <w:p w14:paraId="0754C1BF">
            <w:pPr>
              <w:widowControl/>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val="en-US"/>
              </w:rPr>
              <w:t>0</w:t>
            </w:r>
          </w:p>
        </w:tc>
        <w:tc>
          <w:tcPr>
            <w:tcW w:w="7247" w:type="dxa"/>
            <w:tcBorders>
              <w:top w:val="nil"/>
              <w:left w:val="nil"/>
              <w:bottom w:val="single" w:color="auto" w:sz="4" w:space="0"/>
              <w:right w:val="single" w:color="auto" w:sz="4" w:space="0"/>
            </w:tcBorders>
            <w:vAlign w:val="center"/>
          </w:tcPr>
          <w:p w14:paraId="628911EF">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投标报价得分=（评标基准价/投标报价）*30</w:t>
            </w:r>
            <w:r>
              <w:rPr>
                <w:rFonts w:hint="eastAsia" w:ascii="仿宋" w:hAnsi="仿宋" w:eastAsia="仿宋" w:cs="仿宋"/>
                <w:sz w:val="28"/>
                <w:szCs w:val="28"/>
                <w:highlight w:val="none"/>
                <w:lang w:val="en-US" w:eastAsia="zh-CN"/>
              </w:rPr>
              <w:br w:type="textWrapping"/>
            </w:r>
            <w:r>
              <w:rPr>
                <w:rFonts w:hint="eastAsia" w:ascii="仿宋" w:hAnsi="仿宋" w:eastAsia="仿宋" w:cs="仿宋"/>
                <w:sz w:val="28"/>
                <w:szCs w:val="28"/>
                <w:highlight w:val="none"/>
                <w:lang w:val="en-US" w:eastAsia="zh-CN"/>
              </w:rPr>
              <w:t>注：满足招标文件要求且投标下浮率最低的投标报价为评标基准价。</w:t>
            </w:r>
          </w:p>
          <w:p w14:paraId="60351E06">
            <w:pPr>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评标委员会认为投标人的报价明显低于其他通过符合性审查投标人的报价，有可能影响产品质量或者不能诚信履约的，评标委员会可将其作为无效投标处理。</w:t>
            </w:r>
          </w:p>
        </w:tc>
      </w:tr>
    </w:tbl>
    <w:p w14:paraId="4DFD87E3">
      <w:pPr>
        <w:spacing w:line="364" w:lineRule="auto"/>
        <w:rPr>
          <w:rFonts w:hint="eastAsia" w:ascii="仿宋" w:hAnsi="仿宋" w:eastAsia="仿宋" w:cs="仿宋"/>
          <w:sz w:val="28"/>
          <w:szCs w:val="28"/>
          <w:highlight w:val="none"/>
        </w:rPr>
        <w:sectPr>
          <w:footerReference r:id="rId3" w:type="default"/>
          <w:pgSz w:w="11910" w:h="16840"/>
          <w:pgMar w:top="1080" w:right="621" w:bottom="1380" w:left="960" w:header="0" w:footer="1119" w:gutter="0"/>
          <w:pgBorders>
            <w:top w:val="none" w:sz="0" w:space="0"/>
            <w:left w:val="none" w:sz="0" w:space="0"/>
            <w:bottom w:val="none" w:sz="0" w:space="0"/>
            <w:right w:val="none" w:sz="0" w:space="0"/>
          </w:pgBorders>
          <w:pgNumType w:fmt="numberInDash"/>
          <w:cols w:space="720" w:num="1"/>
        </w:sectPr>
      </w:pPr>
    </w:p>
    <w:p w14:paraId="7DC5BCAF">
      <w:pPr>
        <w:tabs>
          <w:tab w:val="left" w:pos="1703"/>
        </w:tabs>
        <w:bidi w:val="0"/>
        <w:jc w:val="left"/>
        <w:rPr>
          <w:rFonts w:hint="eastAsia" w:ascii="方正仿宋_GBK" w:hAnsi="方正仿宋_GBK" w:eastAsia="方正仿宋_GBK" w:cs="方正仿宋_GBK"/>
          <w:lang w:val="zh-CN"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0AE0F">
    <w:pPr>
      <w:pStyle w:val="6"/>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FA259">
                          <w:pPr>
                            <w:pStyle w:val="7"/>
                            <w:rPr>
                              <w:rFonts w:hint="eastAsia"/>
                            </w:rPr>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B2FA259">
                    <w:pPr>
                      <w:pStyle w:val="7"/>
                      <w:rPr>
                        <w:rFonts w:hint="eastAsia"/>
                      </w:rPr>
                    </w:pPr>
                    <w:r>
                      <w:fldChar w:fldCharType="begin"/>
                    </w:r>
                    <w:r>
                      <w:instrText xml:space="preserve"> PAGE  \* MERGEFORMAT </w:instrText>
                    </w:r>
                    <w:r>
                      <w:fldChar w:fldCharType="separate"/>
                    </w:r>
                    <w:r>
                      <w:t>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79AEF"/>
    <w:multiLevelType w:val="multilevel"/>
    <w:tmpl w:val="C8879AEF"/>
    <w:lvl w:ilvl="0" w:tentative="0">
      <w:start w:val="18"/>
      <w:numFmt w:val="decimal"/>
      <w:lvlText w:val="%1."/>
      <w:lvlJc w:val="left"/>
      <w:pPr>
        <w:ind w:left="1419" w:hanging="481"/>
        <w:jc w:val="left"/>
      </w:pPr>
      <w:rPr>
        <w:rFonts w:hint="default" w:ascii="宋体" w:hAnsi="宋体" w:eastAsia="宋体" w:cs="宋体"/>
        <w:b/>
        <w:bCs/>
        <w:spacing w:val="-3"/>
        <w:w w:val="99"/>
        <w:sz w:val="22"/>
        <w:szCs w:val="22"/>
        <w:lang w:val="zh-CN" w:eastAsia="zh-CN" w:bidi="zh-CN"/>
      </w:rPr>
    </w:lvl>
    <w:lvl w:ilvl="1" w:tentative="0">
      <w:start w:val="1"/>
      <w:numFmt w:val="decimal"/>
      <w:pStyle w:val="14"/>
      <w:lvlText w:val="%1.%2"/>
      <w:lvlJc w:val="left"/>
      <w:pPr>
        <w:ind w:left="458"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409" w:hanging="540"/>
      </w:pPr>
      <w:rPr>
        <w:rFonts w:hint="default"/>
        <w:lang w:val="zh-CN" w:eastAsia="zh-CN" w:bidi="zh-CN"/>
      </w:rPr>
    </w:lvl>
    <w:lvl w:ilvl="3" w:tentative="0">
      <w:start w:val="0"/>
      <w:numFmt w:val="bullet"/>
      <w:lvlText w:val="•"/>
      <w:lvlJc w:val="left"/>
      <w:pPr>
        <w:ind w:left="3399" w:hanging="540"/>
      </w:pPr>
      <w:rPr>
        <w:rFonts w:hint="default"/>
        <w:lang w:val="zh-CN" w:eastAsia="zh-CN" w:bidi="zh-CN"/>
      </w:rPr>
    </w:lvl>
    <w:lvl w:ilvl="4" w:tentative="0">
      <w:start w:val="0"/>
      <w:numFmt w:val="bullet"/>
      <w:lvlText w:val="•"/>
      <w:lvlJc w:val="left"/>
      <w:pPr>
        <w:ind w:left="4388" w:hanging="540"/>
      </w:pPr>
      <w:rPr>
        <w:rFonts w:hint="default"/>
        <w:lang w:val="zh-CN" w:eastAsia="zh-CN" w:bidi="zh-CN"/>
      </w:rPr>
    </w:lvl>
    <w:lvl w:ilvl="5" w:tentative="0">
      <w:start w:val="0"/>
      <w:numFmt w:val="bullet"/>
      <w:lvlText w:val="•"/>
      <w:lvlJc w:val="left"/>
      <w:pPr>
        <w:ind w:left="5378" w:hanging="540"/>
      </w:pPr>
      <w:rPr>
        <w:rFonts w:hint="default"/>
        <w:lang w:val="zh-CN" w:eastAsia="zh-CN" w:bidi="zh-CN"/>
      </w:rPr>
    </w:lvl>
    <w:lvl w:ilvl="6" w:tentative="0">
      <w:start w:val="0"/>
      <w:numFmt w:val="bullet"/>
      <w:lvlText w:val="•"/>
      <w:lvlJc w:val="left"/>
      <w:pPr>
        <w:ind w:left="6367" w:hanging="540"/>
      </w:pPr>
      <w:rPr>
        <w:rFonts w:hint="default"/>
        <w:lang w:val="zh-CN" w:eastAsia="zh-CN" w:bidi="zh-CN"/>
      </w:rPr>
    </w:lvl>
    <w:lvl w:ilvl="7" w:tentative="0">
      <w:start w:val="0"/>
      <w:numFmt w:val="bullet"/>
      <w:lvlText w:val="•"/>
      <w:lvlJc w:val="left"/>
      <w:pPr>
        <w:ind w:left="7357" w:hanging="540"/>
      </w:pPr>
      <w:rPr>
        <w:rFonts w:hint="default"/>
        <w:lang w:val="zh-CN" w:eastAsia="zh-CN" w:bidi="zh-CN"/>
      </w:rPr>
    </w:lvl>
    <w:lvl w:ilvl="8" w:tentative="0">
      <w:start w:val="0"/>
      <w:numFmt w:val="bullet"/>
      <w:lvlText w:val="•"/>
      <w:lvlJc w:val="left"/>
      <w:pPr>
        <w:ind w:left="8346" w:hanging="540"/>
      </w:pPr>
      <w:rPr>
        <w:rFonts w:hint="default"/>
        <w:lang w:val="zh-CN" w:eastAsia="zh-CN" w:bidi="zh-CN"/>
      </w:rPr>
    </w:lvl>
  </w:abstractNum>
  <w:abstractNum w:abstractNumId="1">
    <w:nsid w:val="033E864D"/>
    <w:multiLevelType w:val="singleLevel"/>
    <w:tmpl w:val="033E864D"/>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5521E"/>
    <w:rsid w:val="01056713"/>
    <w:rsid w:val="05F035F0"/>
    <w:rsid w:val="09C61491"/>
    <w:rsid w:val="15F4246B"/>
    <w:rsid w:val="16236B96"/>
    <w:rsid w:val="20184E9E"/>
    <w:rsid w:val="2686651E"/>
    <w:rsid w:val="2FDB5B6F"/>
    <w:rsid w:val="37B663D0"/>
    <w:rsid w:val="39E44E71"/>
    <w:rsid w:val="3C67B944"/>
    <w:rsid w:val="43D54C44"/>
    <w:rsid w:val="458343AB"/>
    <w:rsid w:val="4809333E"/>
    <w:rsid w:val="4B0B6057"/>
    <w:rsid w:val="4D865887"/>
    <w:rsid w:val="60C56EFB"/>
    <w:rsid w:val="655129B6"/>
    <w:rsid w:val="666C740A"/>
    <w:rsid w:val="683706DE"/>
    <w:rsid w:val="68E6027C"/>
    <w:rsid w:val="698C5282"/>
    <w:rsid w:val="77A54F38"/>
    <w:rsid w:val="7C920181"/>
    <w:rsid w:val="7D5E1E12"/>
    <w:rsid w:val="7E56925B"/>
    <w:rsid w:val="A6BF6E93"/>
    <w:rsid w:val="B77ECFC8"/>
    <w:rsid w:val="D3DE2979"/>
    <w:rsid w:val="F37D7077"/>
    <w:rsid w:val="FDEB1A41"/>
    <w:rsid w:val="FFFF9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36"/>
      <w:ind w:right="52"/>
      <w:jc w:val="center"/>
      <w:outlineLvl w:val="0"/>
    </w:pPr>
    <w:rPr>
      <w:b/>
      <w:bCs/>
      <w:sz w:val="36"/>
      <w:szCs w:val="36"/>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6"/>
    <w:basedOn w:val="1"/>
    <w:next w:val="1"/>
    <w:qFormat/>
    <w:uiPriority w:val="1"/>
    <w:pPr>
      <w:ind w:left="455"/>
      <w:outlineLvl w:val="5"/>
    </w:pPr>
    <w:rPr>
      <w:b/>
      <w:bCs/>
      <w:sz w:val="24"/>
      <w:szCs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1"/>
    <w:rPr>
      <w:sz w:val="24"/>
      <w:szCs w:val="24"/>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6"/>
    <w:qFormat/>
    <w:uiPriority w:val="0"/>
    <w:pPr>
      <w:ind w:firstLine="420" w:firstLineChars="100"/>
    </w:pPr>
  </w:style>
  <w:style w:type="character" w:styleId="13">
    <w:name w:val="Strong"/>
    <w:basedOn w:val="12"/>
    <w:qFormat/>
    <w:uiPriority w:val="0"/>
    <w:rPr>
      <w:b/>
    </w:rPr>
  </w:style>
  <w:style w:type="paragraph" w:styleId="14">
    <w:name w:val="List Paragraph"/>
    <w:basedOn w:val="1"/>
    <w:qFormat/>
    <w:uiPriority w:val="1"/>
    <w:pPr>
      <w:numPr>
        <w:ilvl w:val="1"/>
        <w:numId w:val="1"/>
      </w:numPr>
      <w:tabs>
        <w:tab w:val="left" w:pos="1877"/>
      </w:tabs>
      <w:spacing w:before="1" w:line="362" w:lineRule="auto"/>
      <w:ind w:right="510" w:firstLine="676"/>
      <w:jc w:val="both"/>
    </w:pPr>
  </w:style>
  <w:style w:type="paragraph" w:customStyle="1" w:styleId="15">
    <w:name w:val="Table Paragraph"/>
    <w:basedOn w:val="1"/>
    <w:qFormat/>
    <w:uiPriority w:val="1"/>
  </w:style>
  <w:style w:type="paragraph" w:customStyle="1" w:styleId="16">
    <w:name w:val="列出段落9"/>
    <w:basedOn w:val="1"/>
    <w:qFormat/>
    <w:uiPriority w:val="0"/>
    <w:pPr>
      <w:ind w:firstLine="420" w:firstLineChars="200"/>
    </w:pPr>
  </w:style>
  <w:style w:type="paragraph" w:customStyle="1" w:styleId="17">
    <w:name w:val="Body text|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18">
    <w:name w:val="GHC 正文"/>
    <w:basedOn w:val="1"/>
    <w:qFormat/>
    <w:uiPriority w:val="0"/>
    <w:pPr>
      <w:spacing w:line="360" w:lineRule="auto"/>
      <w:ind w:firstLine="480" w:firstLineChars="200"/>
    </w:pPr>
    <w:rPr>
      <w:rFonts w:ascii="宋体" w:hAnsi="宋体"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2252</Words>
  <Characters>2263</Characters>
  <Lines>0</Lines>
  <Paragraphs>0</Paragraphs>
  <TotalTime>5</TotalTime>
  <ScaleCrop>false</ScaleCrop>
  <LinksUpToDate>false</LinksUpToDate>
  <CharactersWithSpaces>2285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2025-10-21T21:31:00Z</dcterms:created>
  <dc:creator>z</dc:creator>
  <cp:lastModifiedBy>Take me away</cp:lastModifiedBy>
  <cp:lastPrinted>2026-08-04T08:47:00Z</cp:lastPrinted>
  <dcterms:modified xsi:type="dcterms:W3CDTF">2026-08-07T03:27:43Z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eyJoZGlkIjoiYjllNWYzMWY2NzMwMDFhYWJkYTZkNmZmNjA0NjE4ZjAiLCJ1c2VySWQiOiI1Mzg1NDkzNzEifQ==</vt:lpwstr>
  </property>
  <property fmtid="{D5CDD505-2E9C-101B-9397-08002B2CF9AE}" pid="4" name="ICV">
    <vt:lpwstr>74F8943F2A864E41A45558B5BB2EDB33_13</vt:lpwstr>
  </property>
</Properties>
</file>