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7"/>
        <w:ind w:right="49"/>
        <w:jc w:val="center"/>
        <w:rPr>
          <w:rFonts w:hint="eastAsia" w:ascii="仿宋" w:hAnsi="仿宋" w:eastAsia="仿宋" w:cs="仿宋"/>
        </w:rPr>
      </w:pPr>
      <w:bookmarkStart w:id="0" w:name="_Toc28311"/>
      <w:r>
        <w:rPr>
          <w:rFonts w:hint="eastAsia" w:ascii="仿宋" w:hAnsi="仿宋" w:eastAsia="仿宋" w:cs="仿宋"/>
        </w:rPr>
        <w:t>第</w:t>
      </w:r>
      <w:r>
        <w:rPr>
          <w:rFonts w:hint="eastAsia" w:ascii="仿宋" w:hAnsi="仿宋" w:eastAsia="仿宋" w:cs="仿宋"/>
          <w:lang w:val="en-US" w:eastAsia="zh-CN"/>
        </w:rPr>
        <w:t>一</w:t>
      </w:r>
      <w:r>
        <w:rPr>
          <w:rFonts w:hint="eastAsia" w:ascii="仿宋" w:hAnsi="仿宋" w:eastAsia="仿宋" w:cs="仿宋"/>
        </w:rPr>
        <w:t>章 项目技术、商务及其他要求</w:t>
      </w:r>
      <w:bookmarkEnd w:id="0"/>
    </w:p>
    <w:p>
      <w:pPr>
        <w:pStyle w:val="4"/>
        <w:spacing w:before="5"/>
        <w:rPr>
          <w:rFonts w:hint="eastAsia" w:ascii="仿宋" w:hAnsi="仿宋" w:eastAsia="仿宋" w:cs="仿宋"/>
          <w:b/>
          <w:sz w:val="20"/>
        </w:rPr>
      </w:pPr>
    </w:p>
    <w:p>
      <w:pPr>
        <w:pStyle w:val="4"/>
        <w:spacing w:before="5"/>
        <w:rPr>
          <w:rFonts w:hint="eastAsia" w:ascii="仿宋" w:hAnsi="仿宋" w:eastAsia="仿宋" w:cs="仿宋"/>
          <w:b/>
          <w:sz w:val="20"/>
        </w:rPr>
      </w:pPr>
    </w:p>
    <w:p>
      <w:pPr>
        <w:spacing w:line="400" w:lineRule="exact"/>
        <w:ind w:firstLine="508" w:firstLineChars="211"/>
        <w:rPr>
          <w:rFonts w:hint="eastAsia" w:ascii="仿宋" w:hAnsi="仿宋" w:eastAsia="仿宋" w:cs="仿宋"/>
          <w:b/>
          <w:sz w:val="24"/>
          <w:szCs w:val="24"/>
        </w:rPr>
      </w:pPr>
      <w:r>
        <w:rPr>
          <w:rFonts w:hint="eastAsia" w:ascii="仿宋" w:hAnsi="仿宋" w:eastAsia="仿宋" w:cs="仿宋"/>
          <w:b/>
          <w:sz w:val="24"/>
          <w:szCs w:val="24"/>
          <w:lang w:val="en-US"/>
        </w:rPr>
        <w:t>一</w:t>
      </w:r>
      <w:r>
        <w:rPr>
          <w:rFonts w:hint="eastAsia" w:ascii="仿宋" w:hAnsi="仿宋" w:eastAsia="仿宋" w:cs="仿宋"/>
          <w:b/>
          <w:sz w:val="24"/>
          <w:szCs w:val="24"/>
        </w:rPr>
        <w:t>、</w:t>
      </w:r>
      <w:r>
        <w:rPr>
          <w:rFonts w:hint="eastAsia" w:ascii="仿宋" w:hAnsi="仿宋" w:eastAsia="仿宋" w:cs="仿宋"/>
          <w:b/>
          <w:sz w:val="24"/>
          <w:szCs w:val="24"/>
          <w:lang w:val="en-US"/>
        </w:rPr>
        <w:t>技术服务</w:t>
      </w:r>
      <w:r>
        <w:rPr>
          <w:rFonts w:hint="eastAsia" w:ascii="仿宋" w:hAnsi="仿宋" w:eastAsia="仿宋" w:cs="仿宋"/>
          <w:b/>
          <w:sz w:val="24"/>
          <w:szCs w:val="24"/>
        </w:rPr>
        <w:t>范围和内容</w:t>
      </w:r>
    </w:p>
    <w:p>
      <w:pPr>
        <w:spacing w:line="600" w:lineRule="exact"/>
        <w:ind w:firstLine="480" w:firstLineChars="200"/>
        <w:rPr>
          <w:rFonts w:hint="eastAsia" w:ascii="仿宋" w:hAnsi="仿宋" w:eastAsia="仿宋" w:cs="仿宋"/>
          <w:sz w:val="24"/>
        </w:rPr>
      </w:pPr>
      <w:r>
        <w:rPr>
          <w:rFonts w:hint="eastAsia" w:ascii="仿宋" w:hAnsi="仿宋" w:eastAsia="仿宋" w:cs="仿宋"/>
          <w:sz w:val="24"/>
          <w:szCs w:val="24"/>
          <w:lang w:val="en-US"/>
        </w:rPr>
        <w:t>本次采购项目</w:t>
      </w:r>
      <w:r>
        <w:rPr>
          <w:rFonts w:hint="eastAsia" w:ascii="仿宋" w:hAnsi="仿宋" w:eastAsia="仿宋" w:cs="仿宋"/>
          <w:sz w:val="24"/>
          <w:szCs w:val="24"/>
        </w:rPr>
        <w:t>的</w:t>
      </w:r>
      <w:r>
        <w:rPr>
          <w:rFonts w:hint="eastAsia" w:ascii="仿宋" w:hAnsi="仿宋" w:eastAsia="仿宋" w:cs="仿宋"/>
          <w:sz w:val="24"/>
          <w:szCs w:val="24"/>
          <w:lang w:val="en-US"/>
        </w:rPr>
        <w:t>监理</w:t>
      </w:r>
      <w:r>
        <w:rPr>
          <w:rFonts w:hint="eastAsia" w:ascii="仿宋" w:hAnsi="仿宋" w:eastAsia="仿宋" w:cs="仿宋"/>
          <w:sz w:val="24"/>
          <w:szCs w:val="24"/>
        </w:rPr>
        <w:t>（包括</w:t>
      </w:r>
      <w:r>
        <w:rPr>
          <w:rFonts w:hint="eastAsia" w:ascii="仿宋" w:hAnsi="仿宋" w:eastAsia="仿宋" w:cs="仿宋"/>
          <w:sz w:val="24"/>
        </w:rPr>
        <w:t>工程施工全过程及缺陷责任期监理（含质量、进度、投资控制、安全、文明施工、信息、合同管理及现场施工协调），包括各阶段质量、进度、投资控制，安全、文明施工、信息、合同管理及现场施工协调。配合委托人进行工程结算和审计工作。</w:t>
      </w:r>
    </w:p>
    <w:p>
      <w:pPr>
        <w:spacing w:line="400" w:lineRule="exact"/>
        <w:ind w:firstLine="508" w:firstLineChars="211"/>
        <w:rPr>
          <w:rFonts w:hint="eastAsia" w:ascii="仿宋" w:hAnsi="仿宋" w:eastAsia="仿宋" w:cs="仿宋"/>
          <w:b/>
          <w:sz w:val="24"/>
          <w:szCs w:val="24"/>
        </w:rPr>
      </w:pPr>
      <w:r>
        <w:rPr>
          <w:rFonts w:hint="eastAsia" w:ascii="仿宋" w:hAnsi="仿宋" w:eastAsia="仿宋" w:cs="仿宋"/>
          <w:b/>
          <w:sz w:val="24"/>
          <w:szCs w:val="24"/>
          <w:lang w:val="en-US"/>
        </w:rPr>
        <w:t>二</w:t>
      </w:r>
      <w:r>
        <w:rPr>
          <w:rFonts w:hint="eastAsia" w:ascii="仿宋" w:hAnsi="仿宋" w:eastAsia="仿宋" w:cs="仿宋"/>
          <w:b/>
          <w:sz w:val="24"/>
          <w:szCs w:val="24"/>
        </w:rPr>
        <w:t>、项目</w:t>
      </w:r>
      <w:r>
        <w:rPr>
          <w:rFonts w:hint="eastAsia" w:ascii="仿宋" w:hAnsi="仿宋" w:eastAsia="仿宋" w:cs="仿宋"/>
          <w:b/>
          <w:sz w:val="24"/>
          <w:szCs w:val="24"/>
          <w:lang w:val="en-US"/>
        </w:rPr>
        <w:t>技术服务</w:t>
      </w:r>
      <w:r>
        <w:rPr>
          <w:rFonts w:hint="eastAsia" w:ascii="仿宋" w:hAnsi="仿宋" w:eastAsia="仿宋" w:cs="仿宋"/>
          <w:b/>
          <w:sz w:val="24"/>
          <w:szCs w:val="24"/>
        </w:rPr>
        <w:t>要求</w:t>
      </w:r>
    </w:p>
    <w:p>
      <w:pPr>
        <w:spacing w:line="400" w:lineRule="exact"/>
        <w:ind w:firstLine="506" w:firstLineChars="211"/>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rPr>
        <w:t>项目监理</w:t>
      </w:r>
      <w:r>
        <w:rPr>
          <w:rFonts w:hint="eastAsia" w:ascii="仿宋" w:hAnsi="仿宋" w:eastAsia="仿宋" w:cs="仿宋"/>
          <w:sz w:val="24"/>
          <w:szCs w:val="24"/>
        </w:rPr>
        <w:t>应遵守国家现行的有关法律法规，必须符合</w:t>
      </w:r>
      <w:r>
        <w:rPr>
          <w:rFonts w:hint="eastAsia" w:ascii="仿宋" w:hAnsi="仿宋" w:eastAsia="仿宋" w:cs="仿宋"/>
          <w:sz w:val="24"/>
          <w:szCs w:val="24"/>
          <w:lang w:val="en-US"/>
        </w:rPr>
        <w:t>造价</w:t>
      </w:r>
      <w:r>
        <w:rPr>
          <w:rFonts w:hint="eastAsia" w:ascii="仿宋" w:hAnsi="仿宋" w:eastAsia="仿宋" w:cs="仿宋"/>
          <w:sz w:val="24"/>
          <w:szCs w:val="24"/>
        </w:rPr>
        <w:t>强制性标准，且标准和内容必须按照本工程项目的有关要求；</w:t>
      </w:r>
    </w:p>
    <w:p>
      <w:pPr>
        <w:spacing w:line="400" w:lineRule="exact"/>
        <w:ind w:firstLine="506" w:firstLineChars="211"/>
        <w:rPr>
          <w:rFonts w:hint="eastAsia" w:ascii="仿宋" w:hAnsi="仿宋" w:eastAsia="仿宋" w:cs="仿宋"/>
          <w:sz w:val="24"/>
          <w:szCs w:val="24"/>
        </w:rPr>
      </w:pPr>
      <w:r>
        <w:rPr>
          <w:rFonts w:hint="eastAsia" w:ascii="仿宋" w:hAnsi="仿宋" w:eastAsia="仿宋" w:cs="仿宋"/>
          <w:sz w:val="24"/>
          <w:szCs w:val="24"/>
        </w:rPr>
        <w:t>2、能真实反映工程地质</w:t>
      </w:r>
      <w:r>
        <w:rPr>
          <w:rFonts w:hint="eastAsia" w:ascii="仿宋" w:hAnsi="仿宋" w:eastAsia="仿宋" w:cs="仿宋"/>
          <w:sz w:val="24"/>
          <w:szCs w:val="24"/>
          <w:lang w:val="en-US"/>
        </w:rPr>
        <w:t>状况</w:t>
      </w:r>
      <w:r>
        <w:rPr>
          <w:rFonts w:hint="eastAsia" w:ascii="仿宋" w:hAnsi="仿宋" w:eastAsia="仿宋" w:cs="仿宋"/>
          <w:sz w:val="24"/>
          <w:szCs w:val="24"/>
        </w:rPr>
        <w:t>，评价准确，数据可靠且经过方案比较和计算。</w:t>
      </w:r>
    </w:p>
    <w:p>
      <w:pPr>
        <w:spacing w:line="400" w:lineRule="exact"/>
        <w:ind w:firstLine="506" w:firstLineChars="211"/>
        <w:rPr>
          <w:rFonts w:hint="eastAsia" w:ascii="仿宋" w:hAnsi="仿宋" w:eastAsia="仿宋" w:cs="仿宋"/>
          <w:sz w:val="24"/>
          <w:szCs w:val="24"/>
        </w:rPr>
      </w:pPr>
      <w:r>
        <w:rPr>
          <w:rFonts w:hint="eastAsia" w:ascii="仿宋" w:hAnsi="仿宋" w:eastAsia="仿宋" w:cs="仿宋"/>
          <w:sz w:val="24"/>
          <w:szCs w:val="24"/>
        </w:rPr>
        <w:t>3、应符合国家及行业相关规范并通过相关主管部门审批。</w:t>
      </w:r>
    </w:p>
    <w:p>
      <w:pPr>
        <w:spacing w:line="400" w:lineRule="exact"/>
        <w:ind w:firstLine="506" w:firstLineChars="211"/>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rPr>
        <w:t>技术</w:t>
      </w:r>
      <w:r>
        <w:rPr>
          <w:rFonts w:hint="eastAsia" w:ascii="仿宋" w:hAnsi="仿宋" w:eastAsia="仿宋" w:cs="仿宋"/>
          <w:sz w:val="24"/>
          <w:szCs w:val="24"/>
        </w:rPr>
        <w:t>文件的深度，要能满足相应</w:t>
      </w:r>
      <w:r>
        <w:rPr>
          <w:rFonts w:hint="eastAsia" w:ascii="仿宋" w:hAnsi="仿宋" w:eastAsia="仿宋" w:cs="仿宋"/>
          <w:sz w:val="24"/>
          <w:szCs w:val="24"/>
          <w:lang w:val="en-US"/>
        </w:rPr>
        <w:t>技术服务</w:t>
      </w:r>
      <w:r>
        <w:rPr>
          <w:rFonts w:hint="eastAsia" w:ascii="仿宋" w:hAnsi="仿宋" w:eastAsia="仿宋" w:cs="仿宋"/>
          <w:sz w:val="24"/>
          <w:szCs w:val="24"/>
        </w:rPr>
        <w:t>阶段的技术要求。</w:t>
      </w:r>
    </w:p>
    <w:p>
      <w:pPr>
        <w:spacing w:line="400" w:lineRule="exact"/>
        <w:ind w:firstLine="506" w:firstLineChars="211"/>
        <w:rPr>
          <w:rFonts w:hint="eastAsia" w:ascii="仿宋" w:hAnsi="仿宋" w:eastAsia="仿宋" w:cs="仿宋"/>
          <w:sz w:val="24"/>
          <w:szCs w:val="24"/>
        </w:rPr>
      </w:pPr>
      <w:r>
        <w:rPr>
          <w:rFonts w:hint="eastAsia" w:ascii="仿宋" w:hAnsi="仿宋" w:eastAsia="仿宋" w:cs="仿宋"/>
          <w:sz w:val="24"/>
          <w:szCs w:val="24"/>
        </w:rPr>
        <w:t>5、未尽事宜按有关规定执行。</w:t>
      </w:r>
    </w:p>
    <w:p>
      <w:pPr>
        <w:spacing w:line="400" w:lineRule="exact"/>
        <w:ind w:firstLine="506" w:firstLineChars="211"/>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szCs w:val="24"/>
          <w:lang w:val="en-US"/>
        </w:rPr>
        <w:t>技术服务</w:t>
      </w:r>
      <w:r>
        <w:rPr>
          <w:rFonts w:hint="eastAsia" w:ascii="仿宋" w:hAnsi="仿宋" w:eastAsia="仿宋" w:cs="仿宋"/>
          <w:sz w:val="24"/>
          <w:szCs w:val="24"/>
        </w:rPr>
        <w:t>原则：</w:t>
      </w:r>
    </w:p>
    <w:p>
      <w:pPr>
        <w:spacing w:line="400" w:lineRule="exact"/>
        <w:ind w:firstLine="506" w:firstLineChars="211"/>
        <w:rPr>
          <w:rFonts w:hint="eastAsia" w:ascii="仿宋" w:hAnsi="仿宋" w:eastAsia="仿宋" w:cs="仿宋"/>
          <w:sz w:val="24"/>
          <w:szCs w:val="24"/>
        </w:rPr>
      </w:pPr>
      <w:r>
        <w:rPr>
          <w:rFonts w:hint="eastAsia" w:ascii="仿宋" w:hAnsi="仿宋" w:eastAsia="仿宋" w:cs="仿宋"/>
          <w:sz w:val="24"/>
          <w:szCs w:val="24"/>
        </w:rPr>
        <w:t>（1）协调性原则：</w:t>
      </w:r>
      <w:r>
        <w:rPr>
          <w:rFonts w:hint="eastAsia" w:ascii="仿宋" w:hAnsi="仿宋" w:eastAsia="仿宋" w:cs="仿宋"/>
          <w:sz w:val="24"/>
          <w:szCs w:val="24"/>
          <w:lang w:val="en-US"/>
        </w:rPr>
        <w:t>技术服务</w:t>
      </w:r>
      <w:r>
        <w:rPr>
          <w:rFonts w:hint="eastAsia" w:ascii="仿宋" w:hAnsi="仿宋" w:eastAsia="仿宋" w:cs="仿宋"/>
          <w:sz w:val="24"/>
          <w:szCs w:val="24"/>
        </w:rPr>
        <w:t>人员应全面掌握该项目所处位置和细节，以及相邻项目的风格，在整个</w:t>
      </w:r>
      <w:r>
        <w:rPr>
          <w:rFonts w:hint="eastAsia" w:ascii="仿宋" w:hAnsi="仿宋" w:eastAsia="仿宋" w:cs="仿宋"/>
          <w:sz w:val="24"/>
          <w:szCs w:val="24"/>
          <w:lang w:val="en-US"/>
        </w:rPr>
        <w:t>项目</w:t>
      </w:r>
      <w:r>
        <w:rPr>
          <w:rFonts w:hint="eastAsia" w:ascii="仿宋" w:hAnsi="仿宋" w:eastAsia="仿宋" w:cs="仿宋"/>
          <w:sz w:val="24"/>
          <w:szCs w:val="24"/>
        </w:rPr>
        <w:t>进程中充分考虑大环境的协调性；</w:t>
      </w:r>
    </w:p>
    <w:p>
      <w:pPr>
        <w:spacing w:line="400" w:lineRule="exact"/>
        <w:ind w:firstLine="506" w:firstLineChars="211"/>
        <w:rPr>
          <w:rFonts w:hint="eastAsia" w:ascii="仿宋" w:hAnsi="仿宋" w:eastAsia="仿宋" w:cs="仿宋"/>
          <w:sz w:val="24"/>
          <w:szCs w:val="24"/>
        </w:rPr>
      </w:pPr>
      <w:r>
        <w:rPr>
          <w:rFonts w:hint="eastAsia" w:ascii="仿宋" w:hAnsi="仿宋" w:eastAsia="仿宋" w:cs="仿宋"/>
          <w:sz w:val="24"/>
          <w:szCs w:val="24"/>
        </w:rPr>
        <w:t>（2）经济性原则：</w:t>
      </w:r>
      <w:r>
        <w:rPr>
          <w:rFonts w:hint="eastAsia" w:ascii="仿宋" w:hAnsi="仿宋" w:eastAsia="仿宋" w:cs="仿宋"/>
          <w:sz w:val="24"/>
          <w:szCs w:val="24"/>
          <w:lang w:val="en-US"/>
        </w:rPr>
        <w:t>各阶段工作</w:t>
      </w:r>
      <w:r>
        <w:rPr>
          <w:rFonts w:hint="eastAsia" w:ascii="仿宋" w:hAnsi="仿宋" w:eastAsia="仿宋" w:cs="仿宋"/>
          <w:sz w:val="24"/>
          <w:szCs w:val="24"/>
        </w:rPr>
        <w:t>应充分挖掘当地的相关资料以及当地的现有的施工技术；采用节能、环保、经济的技术；</w:t>
      </w:r>
    </w:p>
    <w:p>
      <w:pPr>
        <w:spacing w:line="400" w:lineRule="exact"/>
        <w:ind w:firstLine="506" w:firstLineChars="211"/>
        <w:rPr>
          <w:rFonts w:hint="eastAsia" w:ascii="仿宋" w:hAnsi="仿宋" w:eastAsia="仿宋" w:cs="仿宋"/>
          <w:sz w:val="24"/>
          <w:szCs w:val="24"/>
        </w:rPr>
      </w:pPr>
      <w:r>
        <w:rPr>
          <w:rFonts w:hint="eastAsia" w:ascii="仿宋" w:hAnsi="仿宋" w:eastAsia="仿宋" w:cs="仿宋"/>
          <w:sz w:val="24"/>
          <w:szCs w:val="24"/>
        </w:rPr>
        <w:t>（3）新技术原则：</w:t>
      </w:r>
      <w:r>
        <w:rPr>
          <w:rFonts w:hint="eastAsia" w:ascii="仿宋" w:hAnsi="仿宋" w:eastAsia="仿宋" w:cs="仿宋"/>
          <w:sz w:val="24"/>
          <w:szCs w:val="24"/>
          <w:lang w:val="en-US"/>
        </w:rPr>
        <w:t>各阶段工作应</w:t>
      </w:r>
      <w:r>
        <w:rPr>
          <w:rFonts w:hint="eastAsia" w:ascii="仿宋" w:hAnsi="仿宋" w:eastAsia="仿宋" w:cs="仿宋"/>
          <w:sz w:val="24"/>
          <w:szCs w:val="24"/>
        </w:rPr>
        <w:t>考虑采用适当的新技术、新工艺、新材料；</w:t>
      </w:r>
    </w:p>
    <w:p>
      <w:pPr>
        <w:spacing w:line="400" w:lineRule="exact"/>
        <w:ind w:firstLine="506" w:firstLineChars="211"/>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sz w:val="24"/>
          <w:szCs w:val="24"/>
          <w:lang w:val="en-US"/>
        </w:rPr>
        <w:t>各阶段工作</w:t>
      </w:r>
      <w:r>
        <w:rPr>
          <w:rFonts w:hint="eastAsia" w:ascii="仿宋" w:hAnsi="仿宋" w:eastAsia="仿宋" w:cs="仿宋"/>
          <w:sz w:val="24"/>
          <w:szCs w:val="24"/>
        </w:rPr>
        <w:t>规范的要求：</w:t>
      </w:r>
    </w:p>
    <w:p>
      <w:pPr>
        <w:spacing w:line="400" w:lineRule="exact"/>
        <w:ind w:firstLine="506" w:firstLineChars="211"/>
        <w:rPr>
          <w:rFonts w:hint="eastAsia" w:ascii="仿宋" w:hAnsi="仿宋" w:eastAsia="仿宋" w:cs="仿宋"/>
          <w:sz w:val="24"/>
          <w:szCs w:val="24"/>
        </w:rPr>
      </w:pPr>
      <w:r>
        <w:rPr>
          <w:rFonts w:hint="eastAsia" w:ascii="仿宋" w:hAnsi="仿宋" w:eastAsia="仿宋" w:cs="仿宋"/>
          <w:sz w:val="24"/>
          <w:szCs w:val="24"/>
          <w:lang w:val="en-US"/>
        </w:rPr>
        <w:t>各阶段工作</w:t>
      </w:r>
      <w:r>
        <w:rPr>
          <w:rFonts w:hint="eastAsia" w:ascii="仿宋" w:hAnsi="仿宋" w:eastAsia="仿宋" w:cs="仿宋"/>
          <w:sz w:val="24"/>
          <w:szCs w:val="24"/>
        </w:rPr>
        <w:t>文件满足国家和地方性法规和规范的要求，并通过相关主管部门评审。</w:t>
      </w:r>
    </w:p>
    <w:p>
      <w:pPr>
        <w:spacing w:line="400" w:lineRule="exact"/>
        <w:ind w:firstLine="506" w:firstLineChars="211"/>
        <w:rPr>
          <w:rFonts w:hint="eastAsia" w:ascii="仿宋" w:hAnsi="仿宋" w:eastAsia="仿宋" w:cs="仿宋"/>
          <w:b/>
          <w:bCs/>
          <w:sz w:val="24"/>
          <w:szCs w:val="24"/>
        </w:rPr>
      </w:pPr>
      <w:r>
        <w:rPr>
          <w:rFonts w:hint="eastAsia" w:ascii="仿宋" w:hAnsi="仿宋" w:eastAsia="仿宋" w:cs="仿宋"/>
          <w:sz w:val="24"/>
          <w:szCs w:val="24"/>
          <w:lang w:val="en-US"/>
        </w:rPr>
        <w:t>三</w:t>
      </w:r>
      <w:r>
        <w:rPr>
          <w:rFonts w:hint="eastAsia" w:ascii="仿宋" w:hAnsi="仿宋" w:eastAsia="仿宋" w:cs="仿宋"/>
          <w:sz w:val="24"/>
          <w:szCs w:val="24"/>
        </w:rPr>
        <w:t>）深度要求：应符合国家有关法律法规和现行工程建设标准规范规定的深度要求，并通过相关主管部门的评审。</w:t>
      </w:r>
      <w:bookmarkStart w:id="23" w:name="_GoBack"/>
      <w:bookmarkEnd w:id="23"/>
    </w:p>
    <w:p>
      <w:pPr>
        <w:spacing w:line="400" w:lineRule="exact"/>
        <w:ind w:firstLine="508" w:firstLineChars="211"/>
        <w:rPr>
          <w:rFonts w:hint="eastAsia" w:ascii="仿宋" w:hAnsi="仿宋" w:eastAsia="仿宋" w:cs="仿宋"/>
          <w:b/>
          <w:sz w:val="24"/>
          <w:szCs w:val="24"/>
        </w:rPr>
      </w:pPr>
      <w:r>
        <w:rPr>
          <w:rFonts w:hint="eastAsia" w:ascii="仿宋" w:hAnsi="仿宋" w:eastAsia="仿宋" w:cs="仿宋"/>
          <w:b/>
          <w:bCs/>
          <w:sz w:val="24"/>
          <w:szCs w:val="24"/>
          <w:lang w:val="en-US"/>
        </w:rPr>
        <w:t>三</w:t>
      </w:r>
      <w:r>
        <w:rPr>
          <w:rFonts w:hint="eastAsia" w:ascii="仿宋" w:hAnsi="仿宋" w:eastAsia="仿宋" w:cs="仿宋"/>
          <w:b/>
          <w:bCs/>
          <w:sz w:val="24"/>
          <w:szCs w:val="24"/>
        </w:rPr>
        <w:t>、其他重要</w:t>
      </w:r>
      <w:r>
        <w:rPr>
          <w:rFonts w:hint="eastAsia" w:ascii="仿宋" w:hAnsi="仿宋" w:eastAsia="仿宋" w:cs="仿宋"/>
          <w:b/>
          <w:sz w:val="24"/>
          <w:szCs w:val="24"/>
        </w:rPr>
        <w:t>说明</w:t>
      </w:r>
    </w:p>
    <w:p>
      <w:pPr>
        <w:spacing w:line="400" w:lineRule="exact"/>
        <w:ind w:firstLine="506" w:firstLineChars="211"/>
        <w:rPr>
          <w:rFonts w:hint="eastAsia" w:ascii="仿宋" w:hAnsi="仿宋" w:eastAsia="仿宋" w:cs="仿宋"/>
          <w:sz w:val="24"/>
          <w:szCs w:val="24"/>
        </w:rPr>
      </w:pPr>
      <w:r>
        <w:rPr>
          <w:rFonts w:hint="eastAsia" w:ascii="仿宋" w:hAnsi="仿宋" w:eastAsia="仿宋" w:cs="仿宋"/>
          <w:sz w:val="24"/>
          <w:szCs w:val="24"/>
          <w:lang w:val="en-US"/>
        </w:rPr>
        <w:t>1.</w:t>
      </w:r>
      <w:r>
        <w:rPr>
          <w:rFonts w:hint="eastAsia" w:ascii="仿宋" w:hAnsi="仿宋" w:eastAsia="仿宋" w:cs="仿宋"/>
          <w:sz w:val="24"/>
          <w:szCs w:val="24"/>
        </w:rPr>
        <w:t>本项目</w:t>
      </w:r>
      <w:r>
        <w:rPr>
          <w:rFonts w:hint="eastAsia" w:ascii="仿宋" w:hAnsi="仿宋" w:eastAsia="仿宋" w:cs="仿宋"/>
          <w:sz w:val="24"/>
          <w:szCs w:val="24"/>
          <w:lang w:val="en-US"/>
        </w:rPr>
        <w:t>各阶段工作</w:t>
      </w:r>
      <w:r>
        <w:rPr>
          <w:rFonts w:hint="eastAsia" w:ascii="仿宋" w:hAnsi="仿宋" w:eastAsia="仿宋" w:cs="仿宋"/>
          <w:sz w:val="24"/>
          <w:szCs w:val="24"/>
        </w:rPr>
        <w:t>成果文件的所有版权属于招标人所有。招标人应保护投标单位的知识产权，不得向第三人泄露、转让</w:t>
      </w:r>
      <w:r>
        <w:rPr>
          <w:rFonts w:hint="eastAsia" w:ascii="仿宋" w:hAnsi="仿宋" w:eastAsia="仿宋" w:cs="仿宋"/>
          <w:sz w:val="24"/>
          <w:szCs w:val="24"/>
          <w:lang w:eastAsia="zh-CN"/>
        </w:rPr>
        <w:t>投标</w:t>
      </w:r>
      <w:r>
        <w:rPr>
          <w:rFonts w:hint="eastAsia" w:ascii="仿宋" w:hAnsi="仿宋" w:eastAsia="仿宋" w:cs="仿宋"/>
          <w:sz w:val="24"/>
          <w:szCs w:val="24"/>
        </w:rPr>
        <w:t>申请文件有关内容。</w:t>
      </w:r>
    </w:p>
    <w:p>
      <w:pPr>
        <w:spacing w:line="400" w:lineRule="exact"/>
        <w:ind w:firstLine="508" w:firstLineChars="211"/>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四、最高限价</w:t>
      </w:r>
    </w:p>
    <w:p>
      <w:pPr>
        <w:spacing w:line="400" w:lineRule="exact"/>
        <w:ind w:firstLine="508" w:firstLineChars="211"/>
        <w:rPr>
          <w:rFonts w:hint="default" w:ascii="仿宋" w:hAnsi="仿宋" w:eastAsia="仿宋" w:cs="仿宋"/>
          <w:b/>
          <w:bCs/>
          <w:sz w:val="24"/>
          <w:szCs w:val="24"/>
          <w:lang w:val="en-US" w:eastAsia="zh-CN"/>
        </w:rPr>
      </w:pPr>
      <w:r>
        <w:rPr>
          <w:rFonts w:hint="eastAsia" w:ascii="仿宋" w:hAnsi="仿宋" w:eastAsia="仿宋" w:cs="仿宋"/>
          <w:b/>
          <w:bCs/>
          <w:sz w:val="24"/>
          <w:szCs w:val="24"/>
          <w:lang w:eastAsia="zh-CN"/>
        </w:rPr>
        <w:t>本项目最高限价：</w:t>
      </w:r>
      <w:r>
        <w:rPr>
          <w:rFonts w:hint="eastAsia" w:ascii="仿宋" w:hAnsi="仿宋" w:eastAsia="仿宋" w:cs="仿宋"/>
          <w:b/>
          <w:bCs/>
          <w:sz w:val="24"/>
          <w:szCs w:val="24"/>
          <w:lang w:val="en-US" w:eastAsia="zh-CN"/>
        </w:rPr>
        <w:t>3.2万元。</w:t>
      </w:r>
    </w:p>
    <w:p>
      <w:pPr>
        <w:rPr>
          <w:rFonts w:hint="eastAsia" w:ascii="仿宋" w:hAnsi="仿宋" w:eastAsia="仿宋" w:cs="仿宋"/>
          <w:lang w:val="en-US"/>
        </w:rPr>
      </w:pPr>
      <w:r>
        <w:rPr>
          <w:rFonts w:hint="eastAsia" w:ascii="仿宋" w:hAnsi="仿宋" w:eastAsia="仿宋" w:cs="仿宋"/>
          <w:lang w:val="en-US"/>
        </w:rPr>
        <w:t xml:space="preserve">     </w:t>
      </w:r>
    </w:p>
    <w:p>
      <w:pPr>
        <w:rPr>
          <w:rFonts w:hint="eastAsia" w:ascii="仿宋" w:hAnsi="仿宋" w:eastAsia="仿宋" w:cs="仿宋"/>
          <w:sz w:val="24"/>
        </w:rPr>
      </w:pPr>
      <w:r>
        <w:rPr>
          <w:rFonts w:hint="eastAsia" w:ascii="仿宋" w:hAnsi="仿宋" w:eastAsia="仿宋" w:cs="仿宋"/>
          <w:sz w:val="24"/>
        </w:rPr>
        <w:br w:type="page"/>
      </w:r>
    </w:p>
    <w:p>
      <w:pPr>
        <w:rPr>
          <w:rFonts w:hint="eastAsia" w:ascii="仿宋" w:hAnsi="仿宋" w:eastAsia="仿宋" w:cs="仿宋"/>
          <w:sz w:val="24"/>
        </w:rPr>
      </w:pPr>
    </w:p>
    <w:p>
      <w:pPr>
        <w:jc w:val="center"/>
        <w:rPr>
          <w:rFonts w:hint="eastAsia" w:ascii="方正仿宋_GBK" w:hAnsi="方正仿宋_GBK" w:eastAsia="方正仿宋_GBK" w:cs="方正仿宋_GBK"/>
          <w:sz w:val="30"/>
          <w:szCs w:val="30"/>
          <w:lang w:eastAsia="zh-CN"/>
        </w:rPr>
      </w:pPr>
      <w:r>
        <w:rPr>
          <w:rFonts w:hint="eastAsia" w:ascii="方正黑体_GBK" w:hAnsi="方正黑体_GBK" w:eastAsia="方正黑体_GBK" w:cs="方正黑体_GBK"/>
          <w:sz w:val="32"/>
          <w:szCs w:val="32"/>
          <w:lang w:eastAsia="zh-CN"/>
        </w:rPr>
        <w:t>第二章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lang w:eastAsia="zh-CN"/>
        </w:rPr>
        <w:t>采购需求</w:t>
      </w:r>
    </w:p>
    <w:p>
      <w:pPr>
        <w:jc w:val="both"/>
        <w:rPr>
          <w:rFonts w:hint="eastAsia" w:ascii="方正仿宋_GBK" w:hAnsi="方正仿宋_GBK" w:eastAsia="方正仿宋_GBK" w:cs="方正仿宋_GBK"/>
          <w:sz w:val="30"/>
          <w:szCs w:val="30"/>
          <w:lang w:eastAsia="zh-CN"/>
        </w:rPr>
      </w:pPr>
    </w:p>
    <w:p>
      <w:pPr>
        <w:keepNext/>
        <w:keepLines/>
        <w:snapToGrid w:val="0"/>
        <w:spacing w:before="220" w:after="90" w:line="360" w:lineRule="auto"/>
        <w:jc w:val="center"/>
        <w:outlineLvl w:val="0"/>
        <w:rPr>
          <w:rFonts w:hint="eastAsia" w:ascii="宋体" w:hAnsi="宋体" w:eastAsia="宋体" w:cs="宋体"/>
          <w:b/>
          <w:kern w:val="0"/>
          <w:sz w:val="24"/>
          <w:szCs w:val="22"/>
          <w14:ligatures w14:val="none"/>
        </w:rPr>
      </w:pPr>
      <w:r>
        <w:rPr>
          <w:rFonts w:hint="eastAsia" w:ascii="宋体" w:hAnsi="宋体" w:eastAsia="宋体" w:cs="宋体"/>
          <w:b/>
          <w:kern w:val="0"/>
          <w:sz w:val="24"/>
          <w:szCs w:val="22"/>
          <w14:ligatures w14:val="none"/>
        </w:rPr>
        <w:t>项目概述</w:t>
      </w:r>
    </w:p>
    <w:p>
      <w:pPr>
        <w:spacing w:after="0" w:line="360" w:lineRule="auto"/>
        <w:ind w:firstLine="480" w:firstLineChars="200"/>
        <w:jc w:val="both"/>
        <w:rPr>
          <w:rFonts w:hint="eastAsia" w:ascii="宋体" w:hAnsi="宋体" w:eastAsia="宋体" w:cs="宋体"/>
          <w:bCs/>
          <w:kern w:val="0"/>
          <w:sz w:val="24"/>
          <w:szCs w:val="22"/>
          <w14:ligatures w14:val="none"/>
        </w:rPr>
      </w:pPr>
      <w:r>
        <w:rPr>
          <w:rFonts w:hint="eastAsia" w:ascii="宋体" w:hAnsi="宋体" w:eastAsia="宋体" w:cs="宋体"/>
          <w:bCs/>
          <w:kern w:val="0"/>
          <w:sz w:val="24"/>
          <w:szCs w:val="22"/>
          <w14:ligatures w14:val="none"/>
        </w:rPr>
        <w:t>为响应《国务院办公厅关于依托全国一体化政务服务平台建立政务服务效能提升常态化工作机制的意见》（国办发〔2023〕29号）、《国务院关于进一步优化政务服务提升行政效能 推动“高效办成一件事”的指导意见》（国发〔2024〕3号）、《西藏自治区人民政府办公厅关于印发西藏自治区2023年优化营商环境工作要点和行动方案的通知》（藏政办发〔2023〕6号）、《西藏自治区人民政府关于印发西藏自治区加强数字政府建设方案（2023-2025年）的通知》（藏政发〔2023〕12号）等文件精神以及参照《政务服务大厅智能化建设指南》（GB/T 44888—2024）的政务大厅建设国家标准。</w:t>
      </w:r>
    </w:p>
    <w:p>
      <w:pPr>
        <w:spacing w:after="0" w:line="360" w:lineRule="auto"/>
        <w:jc w:val="both"/>
        <w:rPr>
          <w:rFonts w:hint="eastAsia" w:ascii="宋体" w:hAnsi="宋体" w:eastAsia="宋体" w:cs="宋体"/>
          <w:bCs/>
          <w:kern w:val="0"/>
          <w:sz w:val="24"/>
          <w:szCs w:val="22"/>
          <w14:ligatures w14:val="none"/>
        </w:rPr>
      </w:pPr>
      <w:r>
        <w:rPr>
          <w:rFonts w:hint="eastAsia" w:ascii="宋体" w:hAnsi="宋体" w:eastAsia="宋体" w:cs="宋体"/>
          <w:bCs/>
          <w:kern w:val="0"/>
          <w:sz w:val="24"/>
          <w:szCs w:val="22"/>
          <w14:ligatures w14:val="none"/>
        </w:rPr>
        <w:t>在智能化人员管理方面，运用智能化手段，实现从传统服务管理到智能化服务的转型，通过智能化的考勤管理、人员管理、监控管理、请假管理、绩效管理、后勤物品管理、诉求管理，有助于提高行政效率和资源利用效率，让大厅管理更轻松。</w:t>
      </w:r>
    </w:p>
    <w:p>
      <w:pPr>
        <w:spacing w:after="0" w:line="360" w:lineRule="auto"/>
        <w:jc w:val="both"/>
        <w:rPr>
          <w:rFonts w:hint="eastAsia" w:ascii="宋体" w:hAnsi="宋体" w:eastAsia="宋体" w:cs="宋体"/>
          <w:bCs/>
          <w:kern w:val="0"/>
          <w:sz w:val="24"/>
          <w:szCs w:val="22"/>
          <w14:ligatures w14:val="none"/>
        </w:rPr>
      </w:pPr>
      <w:r>
        <w:rPr>
          <w:rFonts w:hint="eastAsia" w:ascii="宋体" w:hAnsi="宋体" w:eastAsia="宋体" w:cs="宋体"/>
          <w:bCs/>
          <w:kern w:val="0"/>
          <w:sz w:val="24"/>
          <w:szCs w:val="22"/>
          <w14:ligatures w14:val="none"/>
        </w:rPr>
        <w:t>在智能化运营方面，利用大数据可视化技术，围绕大厅办事过程服务数据以及各区县排号、办件数据进行展示分析。</w:t>
      </w:r>
    </w:p>
    <w:p>
      <w:pPr>
        <w:spacing w:after="0" w:line="360" w:lineRule="auto"/>
        <w:jc w:val="both"/>
        <w:rPr>
          <w:rFonts w:hint="eastAsia" w:ascii="宋体" w:hAnsi="宋体" w:eastAsia="宋体" w:cs="宋体"/>
          <w:bCs/>
          <w:kern w:val="0"/>
          <w:sz w:val="24"/>
          <w:szCs w:val="22"/>
          <w14:ligatures w14:val="none"/>
        </w:rPr>
      </w:pPr>
      <w:r>
        <w:rPr>
          <w:rFonts w:hint="eastAsia" w:ascii="宋体" w:hAnsi="宋体" w:eastAsia="宋体" w:cs="宋体"/>
          <w:bCs/>
          <w:kern w:val="0"/>
          <w:sz w:val="24"/>
          <w:szCs w:val="22"/>
          <w14:ligatures w14:val="none"/>
        </w:rPr>
        <w:t>在智能化拓展方面，通过系统之间完成对接，更好的获取数据依据，用于支撑管理系统、领导驾驶舱。</w:t>
      </w:r>
    </w:p>
    <w:p>
      <w:pPr>
        <w:keepNext/>
        <w:keepLines/>
        <w:snapToGrid w:val="0"/>
        <w:spacing w:before="220" w:after="90" w:line="360" w:lineRule="auto"/>
        <w:jc w:val="center"/>
        <w:outlineLvl w:val="0"/>
        <w:rPr>
          <w:rFonts w:hint="eastAsia" w:ascii="宋体" w:hAnsi="宋体" w:eastAsia="宋体" w:cs="宋体"/>
          <w:b/>
          <w:kern w:val="0"/>
          <w:sz w:val="24"/>
          <w:szCs w:val="22"/>
          <w14:ligatures w14:val="none"/>
        </w:rPr>
      </w:pPr>
      <w:r>
        <w:rPr>
          <w:rFonts w:hint="eastAsia" w:ascii="宋体" w:hAnsi="宋体" w:eastAsia="宋体" w:cs="宋体"/>
          <w:b/>
          <w:kern w:val="0"/>
          <w:sz w:val="24"/>
          <w:szCs w:val="22"/>
          <w14:ligatures w14:val="none"/>
        </w:rPr>
        <w:t>设计原则</w:t>
      </w:r>
    </w:p>
    <w:p>
      <w:pPr>
        <w:spacing w:after="0" w:line="360" w:lineRule="auto"/>
        <w:jc w:val="both"/>
        <w:rPr>
          <w:rFonts w:hint="eastAsia" w:ascii="宋体" w:hAnsi="宋体" w:eastAsia="宋体" w:cs="宋体"/>
          <w:bCs/>
          <w:kern w:val="0"/>
          <w:sz w:val="24"/>
          <w:szCs w:val="22"/>
          <w14:ligatures w14:val="none"/>
        </w:rPr>
      </w:pPr>
      <w:r>
        <w:rPr>
          <w:rFonts w:hint="eastAsia" w:ascii="宋体" w:hAnsi="宋体" w:eastAsia="宋体" w:cs="宋体"/>
          <w:bCs/>
          <w:kern w:val="0"/>
          <w:sz w:val="24"/>
          <w:szCs w:val="22"/>
          <w14:ligatures w14:val="none"/>
        </w:rPr>
        <w:t>拉萨三级政务服务大厅智能化提升改造项目具有建设投资较高、技术较复杂、安全技术难度较大等特点，所以项目建设要按照统筹规划、统一标准、突出应用、整合资源、分步实施、确保安全等原则进行。</w:t>
      </w:r>
    </w:p>
    <w:p>
      <w:pPr>
        <w:keepNext/>
        <w:keepLines/>
        <w:spacing w:before="140" w:after="140" w:line="360" w:lineRule="auto"/>
        <w:jc w:val="center"/>
        <w:outlineLvl w:val="2"/>
        <w:rPr>
          <w:rFonts w:ascii="Times New Roman" w:hAnsi="Times New Roman" w:eastAsia="宋体" w:cs="Times New Roman"/>
          <w:b/>
          <w:bCs/>
          <w:sz w:val="24"/>
          <w:szCs w:val="32"/>
          <w14:ligatures w14:val="none"/>
        </w:rPr>
      </w:pPr>
      <w:bookmarkStart w:id="1" w:name="_Toc109940427"/>
      <w:bookmarkStart w:id="2" w:name="_Toc17016"/>
      <w:r>
        <w:rPr>
          <w:rFonts w:ascii="Times New Roman" w:hAnsi="Times New Roman" w:eastAsia="宋体" w:cs="Times New Roman"/>
          <w:b/>
          <w:bCs/>
          <w:sz w:val="24"/>
          <w:szCs w:val="32"/>
          <w14:ligatures w14:val="none"/>
        </w:rPr>
        <w:t>统筹规划</w:t>
      </w:r>
      <w:bookmarkEnd w:id="1"/>
      <w:bookmarkEnd w:id="2"/>
    </w:p>
    <w:p>
      <w:pPr>
        <w:spacing w:after="0" w:line="360" w:lineRule="auto"/>
        <w:jc w:val="both"/>
        <w:rPr>
          <w:rFonts w:hint="eastAsia" w:ascii="宋体" w:hAnsi="宋体" w:eastAsia="宋体" w:cs="宋体"/>
          <w:bCs/>
          <w:kern w:val="0"/>
          <w:sz w:val="24"/>
          <w:szCs w:val="22"/>
          <w:lang w:val="en-GB"/>
          <w14:ligatures w14:val="none"/>
        </w:rPr>
      </w:pPr>
      <w:r>
        <w:rPr>
          <w:rFonts w:hint="eastAsia" w:ascii="宋体" w:hAnsi="宋体" w:eastAsia="宋体" w:cs="宋体"/>
          <w:bCs/>
          <w:kern w:val="0"/>
          <w:sz w:val="24"/>
          <w:szCs w:val="22"/>
          <w:lang w:val="en-GB"/>
          <w14:ligatures w14:val="none"/>
        </w:rPr>
        <w:t>本项目建设要统一规划、统一设计、分层建设、分步实施，充分发挥三级政务大厅及下属单位的积极性，拉萨三级政务服务大厅智能化提升改造项目的建设不仅可以连通三级政务大厅内部各业务体系，实现已建、在建和新建系统的信息共享与业务协同，还能够实现与其委办局资源对接提供服务支撑。</w:t>
      </w:r>
    </w:p>
    <w:p>
      <w:pPr>
        <w:keepNext/>
        <w:keepLines/>
        <w:spacing w:before="140" w:after="140" w:line="360" w:lineRule="auto"/>
        <w:ind w:firstLine="481" w:firstLineChars="200"/>
        <w:jc w:val="center"/>
        <w:outlineLvl w:val="2"/>
        <w:rPr>
          <w:rFonts w:ascii="Times New Roman" w:hAnsi="Times New Roman" w:eastAsia="宋体" w:cs="Times New Roman"/>
          <w:b/>
          <w:bCs/>
          <w:sz w:val="24"/>
          <w:szCs w:val="32"/>
          <w14:ligatures w14:val="none"/>
        </w:rPr>
      </w:pPr>
      <w:bookmarkStart w:id="3" w:name="_Toc109940428"/>
      <w:bookmarkStart w:id="4" w:name="_Toc9905"/>
      <w:r>
        <w:rPr>
          <w:rFonts w:ascii="Times New Roman" w:hAnsi="Times New Roman" w:eastAsia="宋体" w:cs="Times New Roman"/>
          <w:b/>
          <w:bCs/>
          <w:sz w:val="24"/>
          <w:szCs w:val="32"/>
          <w14:ligatures w14:val="none"/>
        </w:rPr>
        <w:t>标准先行</w:t>
      </w:r>
      <w:bookmarkEnd w:id="3"/>
      <w:bookmarkEnd w:id="4"/>
    </w:p>
    <w:p>
      <w:pPr>
        <w:spacing w:after="0" w:line="360" w:lineRule="auto"/>
        <w:jc w:val="both"/>
        <w:rPr>
          <w:rFonts w:hint="eastAsia" w:ascii="宋体" w:hAnsi="宋体" w:eastAsia="宋体" w:cs="宋体"/>
          <w:bCs/>
          <w:kern w:val="0"/>
          <w:sz w:val="24"/>
          <w:szCs w:val="22"/>
          <w:lang w:val="en-GB"/>
          <w14:ligatures w14:val="none"/>
        </w:rPr>
      </w:pPr>
      <w:r>
        <w:rPr>
          <w:rFonts w:hint="eastAsia" w:ascii="宋体" w:hAnsi="宋体" w:eastAsia="宋体" w:cs="宋体"/>
          <w:bCs/>
          <w:kern w:val="0"/>
          <w:sz w:val="24"/>
          <w:szCs w:val="22"/>
          <w:lang w:val="en-GB"/>
          <w14:ligatures w14:val="none"/>
        </w:rPr>
        <w:t>本项目的建设要统一标准、统一规范，按照电子政务的国家标准、行业标准，通过计算机网络等高科技手段，逐步规范全市“一网通办”建设模式，形成相对统一的拉萨市“一网通办”建设项目标准，包括技术标准和管理标准。</w:t>
      </w:r>
    </w:p>
    <w:p>
      <w:pPr>
        <w:keepNext/>
        <w:keepLines/>
        <w:spacing w:before="140" w:after="140" w:line="360" w:lineRule="auto"/>
        <w:ind w:firstLine="481" w:firstLineChars="200"/>
        <w:jc w:val="center"/>
        <w:outlineLvl w:val="2"/>
        <w:rPr>
          <w:rFonts w:ascii="Times New Roman" w:hAnsi="Times New Roman" w:eastAsia="宋体" w:cs="Times New Roman"/>
          <w:b/>
          <w:bCs/>
          <w:sz w:val="24"/>
          <w:szCs w:val="32"/>
          <w14:ligatures w14:val="none"/>
        </w:rPr>
      </w:pPr>
      <w:bookmarkStart w:id="5" w:name="_Toc26519"/>
      <w:bookmarkStart w:id="6" w:name="_Toc109940429"/>
      <w:r>
        <w:rPr>
          <w:rFonts w:ascii="Times New Roman" w:hAnsi="Times New Roman" w:eastAsia="宋体" w:cs="Times New Roman"/>
          <w:b/>
          <w:bCs/>
          <w:sz w:val="24"/>
          <w:szCs w:val="32"/>
          <w14:ligatures w14:val="none"/>
        </w:rPr>
        <w:t>突出应用</w:t>
      </w:r>
      <w:bookmarkEnd w:id="5"/>
      <w:bookmarkEnd w:id="6"/>
    </w:p>
    <w:p>
      <w:pPr>
        <w:spacing w:after="0" w:line="360" w:lineRule="auto"/>
        <w:jc w:val="both"/>
        <w:rPr>
          <w:rFonts w:hint="eastAsia" w:ascii="宋体" w:hAnsi="宋体" w:eastAsia="宋体" w:cs="宋体"/>
          <w:bCs/>
          <w:kern w:val="0"/>
          <w:sz w:val="24"/>
          <w:szCs w:val="22"/>
          <w:lang w:val="en-GB"/>
          <w14:ligatures w14:val="none"/>
        </w:rPr>
      </w:pPr>
      <w:r>
        <w:rPr>
          <w:rFonts w:hint="eastAsia" w:ascii="宋体" w:hAnsi="宋体" w:eastAsia="宋体" w:cs="宋体"/>
          <w:bCs/>
          <w:kern w:val="0"/>
          <w:sz w:val="24"/>
          <w:szCs w:val="22"/>
          <w:lang w:val="en-GB"/>
          <w14:ligatures w14:val="none"/>
        </w:rPr>
        <w:t>本项目的建设要从工作的实际需求出发，以应用为主导。系统建设中，结合建设投资和信息技术的发展，建设符合我市“一网通办”业务应用需求的应用与服务系统。</w:t>
      </w:r>
    </w:p>
    <w:p>
      <w:pPr>
        <w:keepNext/>
        <w:keepLines/>
        <w:spacing w:before="140" w:after="140" w:line="360" w:lineRule="auto"/>
        <w:ind w:firstLine="481" w:firstLineChars="200"/>
        <w:jc w:val="center"/>
        <w:outlineLvl w:val="2"/>
        <w:rPr>
          <w:rFonts w:ascii="Times New Roman" w:hAnsi="Times New Roman" w:eastAsia="宋体" w:cs="Times New Roman"/>
          <w:b/>
          <w:bCs/>
          <w:sz w:val="24"/>
          <w:szCs w:val="32"/>
          <w14:ligatures w14:val="none"/>
        </w:rPr>
      </w:pPr>
      <w:bookmarkStart w:id="7" w:name="_Toc109940430"/>
      <w:bookmarkStart w:id="8" w:name="_Toc27299"/>
      <w:r>
        <w:rPr>
          <w:rFonts w:ascii="Times New Roman" w:hAnsi="Times New Roman" w:eastAsia="宋体" w:cs="Times New Roman"/>
          <w:b/>
          <w:bCs/>
          <w:sz w:val="24"/>
          <w:szCs w:val="32"/>
          <w14:ligatures w14:val="none"/>
        </w:rPr>
        <w:t>逐步实施</w:t>
      </w:r>
      <w:bookmarkEnd w:id="7"/>
      <w:bookmarkEnd w:id="8"/>
    </w:p>
    <w:p>
      <w:pPr>
        <w:spacing w:after="0" w:line="360" w:lineRule="auto"/>
        <w:jc w:val="both"/>
        <w:rPr>
          <w:rFonts w:hint="eastAsia" w:ascii="宋体" w:hAnsi="宋体" w:eastAsia="宋体" w:cs="宋体"/>
          <w:bCs/>
          <w:kern w:val="0"/>
          <w:sz w:val="24"/>
          <w:szCs w:val="22"/>
          <w:lang w:val="en-GB"/>
          <w14:ligatures w14:val="none"/>
        </w:rPr>
      </w:pPr>
      <w:r>
        <w:rPr>
          <w:rFonts w:hint="eastAsia" w:ascii="宋体" w:hAnsi="宋体" w:eastAsia="宋体" w:cs="宋体"/>
          <w:bCs/>
          <w:kern w:val="0"/>
          <w:sz w:val="24"/>
          <w:szCs w:val="22"/>
          <w:lang w:val="en-GB"/>
          <w14:ligatures w14:val="none"/>
        </w:rPr>
        <w:t>“一网通办”信息化应用需求将会随着社会、经济的发展和产业结构的调整发生变化，所以本项目的建设不是一蹴而就的，建设内容需要根据业务需求的迫切性与发展性以及变化，逐步实施与调整，才能保证信息系统的建设与业务需求相适应。</w:t>
      </w:r>
    </w:p>
    <w:p>
      <w:pPr>
        <w:keepNext/>
        <w:keepLines/>
        <w:spacing w:before="140" w:after="140" w:line="360" w:lineRule="auto"/>
        <w:ind w:firstLine="481" w:firstLineChars="200"/>
        <w:jc w:val="center"/>
        <w:outlineLvl w:val="2"/>
        <w:rPr>
          <w:rFonts w:ascii="Times New Roman" w:hAnsi="Times New Roman" w:eastAsia="宋体" w:cs="Times New Roman"/>
          <w:b/>
          <w:bCs/>
          <w:sz w:val="24"/>
          <w:szCs w:val="32"/>
          <w14:ligatures w14:val="none"/>
        </w:rPr>
      </w:pPr>
      <w:bookmarkStart w:id="9" w:name="_Toc109940431"/>
      <w:bookmarkStart w:id="10" w:name="_Toc9461"/>
      <w:r>
        <w:rPr>
          <w:rFonts w:ascii="Times New Roman" w:hAnsi="Times New Roman" w:eastAsia="宋体" w:cs="Times New Roman"/>
          <w:b/>
          <w:bCs/>
          <w:sz w:val="24"/>
          <w:szCs w:val="32"/>
          <w14:ligatures w14:val="none"/>
        </w:rPr>
        <w:t>技术先进适用</w:t>
      </w:r>
      <w:bookmarkEnd w:id="9"/>
      <w:bookmarkEnd w:id="10"/>
    </w:p>
    <w:p>
      <w:pPr>
        <w:spacing w:after="0" w:line="360" w:lineRule="auto"/>
        <w:jc w:val="both"/>
        <w:rPr>
          <w:rFonts w:ascii="宋体" w:hAnsi="Times New Roman" w:eastAsia="宋体" w:cs="Times New Roman"/>
          <w:kern w:val="0"/>
          <w:sz w:val="34"/>
          <w:szCs w:val="22"/>
          <w:lang w:val="en-GB"/>
          <w14:ligatures w14:val="none"/>
        </w:rPr>
      </w:pPr>
      <w:r>
        <w:rPr>
          <w:rFonts w:hint="eastAsia" w:ascii="宋体" w:hAnsi="宋体" w:eastAsia="宋体" w:cs="宋体"/>
          <w:bCs/>
          <w:kern w:val="0"/>
          <w:sz w:val="24"/>
          <w:szCs w:val="22"/>
          <w:lang w:val="en-GB"/>
          <w14:ligatures w14:val="none"/>
        </w:rPr>
        <w:t>本项目的建设将力求采用最先进适用的应用平台和开发工具，使应用软件、数据库等开发成果具有较长的生命周期。</w:t>
      </w:r>
    </w:p>
    <w:p>
      <w:pPr>
        <w:keepNext/>
        <w:keepLines/>
        <w:spacing w:before="140" w:after="140" w:line="360" w:lineRule="auto"/>
        <w:ind w:firstLine="481" w:firstLineChars="200"/>
        <w:jc w:val="center"/>
        <w:outlineLvl w:val="2"/>
        <w:rPr>
          <w:rFonts w:ascii="Times New Roman" w:hAnsi="Times New Roman" w:eastAsia="宋体" w:cs="Times New Roman"/>
          <w:b/>
          <w:bCs/>
          <w:sz w:val="24"/>
          <w:szCs w:val="32"/>
          <w14:ligatures w14:val="none"/>
        </w:rPr>
      </w:pPr>
      <w:bookmarkStart w:id="11" w:name="_Toc109940432"/>
      <w:bookmarkStart w:id="12" w:name="_Toc11657"/>
      <w:r>
        <w:rPr>
          <w:rFonts w:ascii="Times New Roman" w:hAnsi="Times New Roman" w:eastAsia="宋体" w:cs="Times New Roman"/>
          <w:b/>
          <w:bCs/>
          <w:sz w:val="24"/>
          <w:szCs w:val="32"/>
          <w14:ligatures w14:val="none"/>
        </w:rPr>
        <w:t>确保安全</w:t>
      </w:r>
      <w:bookmarkEnd w:id="11"/>
      <w:bookmarkEnd w:id="12"/>
    </w:p>
    <w:p>
      <w:pPr>
        <w:spacing w:after="0" w:line="360" w:lineRule="auto"/>
        <w:jc w:val="both"/>
        <w:rPr>
          <w:rFonts w:hint="eastAsia" w:ascii="宋体" w:hAnsi="宋体" w:eastAsia="宋体" w:cs="宋体"/>
          <w:bCs/>
          <w:kern w:val="0"/>
          <w:sz w:val="24"/>
          <w:szCs w:val="22"/>
          <w:lang w:val="en-GB"/>
          <w14:ligatures w14:val="none"/>
        </w:rPr>
      </w:pPr>
      <w:r>
        <w:rPr>
          <w:rFonts w:hint="eastAsia" w:ascii="宋体" w:hAnsi="宋体" w:eastAsia="宋体" w:cs="宋体"/>
          <w:bCs/>
          <w:kern w:val="0"/>
          <w:sz w:val="24"/>
          <w:szCs w:val="22"/>
          <w:lang w:val="en-GB"/>
          <w14:ligatures w14:val="none"/>
        </w:rPr>
        <w:t>由于拉萨三级政务服务大厅智能化提升改造项目建设的性质对信息安全、数据保密的要求较高，所以本项目的设计都要充分考虑信息安全，采用国内产品和安全可靠的技术，保证建成的系统稳定运行，通过三级等保测评。</w:t>
      </w:r>
    </w:p>
    <w:p>
      <w:pPr>
        <w:keepNext/>
        <w:keepLines/>
        <w:spacing w:before="140" w:after="140" w:line="360" w:lineRule="auto"/>
        <w:ind w:firstLine="481" w:firstLineChars="200"/>
        <w:jc w:val="center"/>
        <w:outlineLvl w:val="2"/>
        <w:rPr>
          <w:rFonts w:ascii="Times New Roman" w:hAnsi="Times New Roman" w:eastAsia="宋体" w:cs="Times New Roman"/>
          <w:b/>
          <w:bCs/>
          <w:sz w:val="24"/>
          <w:szCs w:val="32"/>
          <w14:ligatures w14:val="none"/>
        </w:rPr>
      </w:pPr>
      <w:r>
        <w:rPr>
          <w:rFonts w:hint="eastAsia" w:ascii="Times New Roman" w:hAnsi="Times New Roman" w:eastAsia="宋体" w:cs="Times New Roman"/>
          <w:b/>
          <w:bCs/>
          <w:sz w:val="24"/>
          <w:szCs w:val="32"/>
          <w14:ligatures w14:val="none"/>
        </w:rPr>
        <w:t>总体架构需求</w:t>
      </w:r>
    </w:p>
    <w:p>
      <w:pPr>
        <w:spacing w:after="0" w:line="360" w:lineRule="auto"/>
        <w:jc w:val="both"/>
        <w:rPr>
          <w:rFonts w:hint="eastAsia" w:ascii="宋体" w:hAnsi="宋体" w:eastAsia="宋体" w:cs="宋体"/>
          <w:bCs/>
          <w:kern w:val="0"/>
          <w:sz w:val="24"/>
          <w:szCs w:val="22"/>
          <w:lang w:val="en-GB"/>
          <w14:ligatures w14:val="none"/>
        </w:rPr>
      </w:pPr>
      <w:r>
        <w:rPr>
          <w:rFonts w:hint="eastAsia" w:ascii="宋体" w:hAnsi="宋体" w:eastAsia="宋体" w:cs="宋体"/>
          <w:bCs/>
          <w:kern w:val="0"/>
          <w:sz w:val="24"/>
          <w:szCs w:val="22"/>
          <w:lang w:val="en-GB"/>
          <w14:ligatures w14:val="none"/>
        </w:rPr>
        <w:t>投标人应根据本项目建设要求，提供总体架构图。</w:t>
      </w:r>
    </w:p>
    <w:p>
      <w:pPr>
        <w:spacing w:after="0" w:line="360" w:lineRule="auto"/>
        <w:jc w:val="center"/>
        <w:rPr>
          <w:rFonts w:ascii="Times New Roman" w:hAnsi="Times New Roman" w:eastAsia="宋体" w:cs="Times New Roman"/>
          <w:b/>
          <w:bCs/>
          <w:sz w:val="24"/>
          <w:szCs w:val="32"/>
          <w14:ligatures w14:val="none"/>
        </w:rPr>
      </w:pPr>
      <w:r>
        <w:rPr>
          <w:rFonts w:hint="eastAsia" w:ascii="Times New Roman" w:hAnsi="Times New Roman" w:eastAsia="宋体" w:cs="Times New Roman"/>
          <w:b/>
          <w:bCs/>
          <w:sz w:val="24"/>
          <w:szCs w:val="32"/>
          <w14:ligatures w14:val="none"/>
        </w:rPr>
        <w:t>建设需求</w:t>
      </w:r>
      <w:bookmarkStart w:id="13" w:name="_Toc21537"/>
    </w:p>
    <w:p>
      <w:pPr>
        <w:keepNext/>
        <w:keepLines/>
        <w:snapToGrid w:val="0"/>
        <w:spacing w:before="220" w:after="90" w:line="360" w:lineRule="auto"/>
        <w:ind w:firstLine="481" w:firstLineChars="200"/>
        <w:jc w:val="center"/>
        <w:outlineLvl w:val="0"/>
        <w:rPr>
          <w:rFonts w:ascii="Times New Roman" w:hAnsi="Times New Roman" w:eastAsia="宋体" w:cs="Times New Roman"/>
          <w:b/>
          <w:bCs/>
          <w:sz w:val="24"/>
          <w:szCs w:val="32"/>
          <w14:ligatures w14:val="none"/>
        </w:rPr>
      </w:pPr>
      <w:r>
        <w:rPr>
          <w:rFonts w:hint="eastAsia" w:ascii="Times New Roman" w:hAnsi="Times New Roman" w:eastAsia="宋体" w:cs="Times New Roman"/>
          <w:b/>
          <w:bCs/>
          <w:sz w:val="24"/>
          <w:szCs w:val="32"/>
          <w14:ligatures w14:val="none"/>
        </w:rPr>
        <w:t>智能化人员管理</w:t>
      </w:r>
      <w:bookmarkEnd w:id="13"/>
    </w:p>
    <w:p>
      <w:pPr>
        <w:spacing w:after="0" w:line="360" w:lineRule="auto"/>
        <w:jc w:val="both"/>
        <w:rPr>
          <w:rFonts w:hint="eastAsia" w:ascii="宋体" w:hAnsi="宋体" w:eastAsia="宋体" w:cs="宋体"/>
          <w:bCs/>
          <w:kern w:val="0"/>
          <w:sz w:val="24"/>
          <w:szCs w:val="22"/>
          <w:lang w:val="en-GB"/>
          <w14:ligatures w14:val="none"/>
        </w:rPr>
      </w:pPr>
      <w:r>
        <w:rPr>
          <w:rFonts w:hint="eastAsia" w:ascii="宋体" w:hAnsi="宋体" w:eastAsia="宋体" w:cs="宋体"/>
          <w:bCs/>
          <w:kern w:val="0"/>
          <w:sz w:val="24"/>
          <w:szCs w:val="22"/>
          <w:lang w:val="en-GB"/>
          <w14:ligatures w14:val="none"/>
        </w:rPr>
        <w:t>需提供人员入驻、注销等配置功能，同时为部门管理员提供配置所属部门信息的功能。</w:t>
      </w:r>
    </w:p>
    <w:p>
      <w:pPr>
        <w:keepNext/>
        <w:keepLines/>
        <w:spacing w:before="140" w:after="140" w:line="360" w:lineRule="auto"/>
        <w:ind w:firstLine="481" w:firstLineChars="200"/>
        <w:jc w:val="center"/>
        <w:outlineLvl w:val="2"/>
        <w:rPr>
          <w:rFonts w:ascii="Times New Roman" w:hAnsi="Times New Roman" w:eastAsia="宋体" w:cs="Times New Roman"/>
          <w:b/>
          <w:bCs/>
          <w:sz w:val="24"/>
          <w:szCs w:val="32"/>
          <w14:ligatures w14:val="none"/>
        </w:rPr>
      </w:pPr>
      <w:r>
        <w:rPr>
          <w:rFonts w:hint="eastAsia" w:ascii="Times New Roman" w:hAnsi="Times New Roman" w:eastAsia="宋体" w:cs="Times New Roman"/>
          <w:b/>
          <w:bCs/>
          <w:sz w:val="24"/>
          <w:szCs w:val="32"/>
          <w14:ligatures w14:val="none"/>
        </w:rPr>
        <w:t>人员管理子系统</w:t>
      </w:r>
    </w:p>
    <w:p>
      <w:pPr>
        <w:spacing w:after="0" w:line="360" w:lineRule="auto"/>
        <w:jc w:val="both"/>
        <w:rPr>
          <w:rFonts w:hint="eastAsia" w:ascii="宋体" w:hAnsi="宋体" w:eastAsia="宋体" w:cs="宋体"/>
          <w:bCs/>
          <w:kern w:val="0"/>
          <w:sz w:val="24"/>
          <w:szCs w:val="22"/>
          <w:lang w:val="en-GB"/>
          <w14:ligatures w14:val="none"/>
        </w:rPr>
      </w:pPr>
      <w:r>
        <w:rPr>
          <w:rFonts w:hint="eastAsia" w:ascii="宋体" w:hAnsi="宋体" w:eastAsia="宋体" w:cs="宋体"/>
          <w:bCs/>
          <w:kern w:val="0"/>
          <w:sz w:val="24"/>
          <w:szCs w:val="22"/>
          <w:lang w:val="en-GB"/>
          <w14:ligatures w14:val="none"/>
        </w:rPr>
        <w:t>需提供基本部门、人员信息电子化、标准化统一管理功能。</w:t>
      </w:r>
    </w:p>
    <w:p>
      <w:pPr>
        <w:keepNext/>
        <w:keepLines/>
        <w:spacing w:before="280" w:after="290" w:line="360" w:lineRule="auto"/>
        <w:jc w:val="center"/>
        <w:outlineLvl w:val="3"/>
        <w:rPr>
          <w:rFonts w:ascii="Times New Roman" w:hAnsi="Times New Roman" w:eastAsia="宋体" w:cs="Times New Roman"/>
          <w:b/>
          <w:bCs/>
          <w:sz w:val="24"/>
          <w:szCs w:val="32"/>
          <w14:ligatures w14:val="none"/>
        </w:rPr>
      </w:pPr>
      <w:r>
        <w:rPr>
          <w:rFonts w:hint="eastAsia" w:ascii="Times New Roman" w:hAnsi="Times New Roman" w:eastAsia="宋体" w:cs="Times New Roman"/>
          <w:b/>
          <w:bCs/>
          <w:sz w:val="24"/>
          <w:szCs w:val="32"/>
          <w14:ligatures w14:val="none"/>
        </w:rPr>
        <w:t>部门管理</w:t>
      </w:r>
    </w:p>
    <w:p>
      <w:pPr>
        <w:spacing w:after="0" w:line="360" w:lineRule="auto"/>
        <w:jc w:val="both"/>
        <w:rPr>
          <w:rFonts w:hint="eastAsia" w:ascii="宋体" w:hAnsi="宋体" w:eastAsia="宋体" w:cs="宋体"/>
          <w:bCs/>
          <w:kern w:val="0"/>
          <w:sz w:val="24"/>
          <w:szCs w:val="22"/>
          <w:lang w:val="en-GB"/>
          <w14:ligatures w14:val="none"/>
        </w:rPr>
      </w:pPr>
      <w:r>
        <w:rPr>
          <w:rFonts w:hint="eastAsia" w:ascii="宋体" w:hAnsi="宋体" w:eastAsia="宋体" w:cs="宋体"/>
          <w:bCs/>
          <w:kern w:val="0"/>
          <w:sz w:val="24"/>
          <w:szCs w:val="22"/>
          <w:lang w:val="en-GB"/>
          <w14:ligatures w14:val="none"/>
        </w:rPr>
        <w:t>需支持配置所属部门信息，包括上级目录、部门名称、部门简称、部门代码、是否为窗口部门、辖区编码、联系电话、地址、部门描述等部门信息</w:t>
      </w:r>
      <w:r>
        <w:rPr>
          <w:rFonts w:hint="eastAsia" w:ascii="宋体" w:hAnsi="宋体" w:eastAsia="宋体" w:cs="宋体"/>
          <w:bCs/>
          <w:kern w:val="0"/>
          <w:sz w:val="24"/>
          <w:szCs w:val="22"/>
          <w:lang w:val="zh-CN"/>
          <w14:ligatures w14:val="none"/>
        </w:rPr>
        <w:t>。</w:t>
      </w:r>
    </w:p>
    <w:p>
      <w:pPr>
        <w:keepNext/>
        <w:keepLines/>
        <w:spacing w:before="280" w:after="290" w:line="360" w:lineRule="auto"/>
        <w:jc w:val="center"/>
        <w:outlineLvl w:val="3"/>
        <w:rPr>
          <w:rFonts w:ascii="Times New Roman" w:hAnsi="Times New Roman" w:eastAsia="宋体" w:cs="Times New Roman"/>
          <w:b/>
          <w:bCs/>
          <w:sz w:val="24"/>
          <w:szCs w:val="32"/>
          <w14:ligatures w14:val="none"/>
        </w:rPr>
      </w:pPr>
      <w:r>
        <w:rPr>
          <w:rFonts w:hint="eastAsia" w:ascii="Times New Roman" w:hAnsi="Times New Roman" w:eastAsia="宋体" w:cs="Times New Roman"/>
          <w:b/>
          <w:bCs/>
          <w:sz w:val="24"/>
          <w:szCs w:val="32"/>
          <w14:ligatures w14:val="none"/>
        </w:rPr>
        <w:t>人员管理</w:t>
      </w:r>
    </w:p>
    <w:p>
      <w:pPr>
        <w:spacing w:after="0" w:line="360" w:lineRule="auto"/>
        <w:jc w:val="both"/>
        <w:rPr>
          <w:rFonts w:hint="eastAsia" w:ascii="宋体" w:hAnsi="宋体" w:eastAsia="宋体" w:cs="宋体"/>
          <w:bCs/>
          <w:kern w:val="0"/>
          <w:sz w:val="24"/>
          <w:szCs w:val="22"/>
          <w:lang w:val="en-GB"/>
          <w14:ligatures w14:val="none"/>
        </w:rPr>
      </w:pPr>
      <w:r>
        <w:rPr>
          <w:rFonts w:hint="eastAsia" w:ascii="宋体" w:hAnsi="宋体" w:eastAsia="宋体" w:cs="宋体"/>
          <w:bCs/>
          <w:kern w:val="0"/>
          <w:sz w:val="24"/>
          <w:szCs w:val="22"/>
          <w:lang w:val="en-GB"/>
          <w14:ligatures w14:val="none"/>
        </w:rPr>
        <w:t>需支持对个人信息进行维护，需提供人员入驻、人员注销、人员调离、人员变动日志查看等功能。</w:t>
      </w:r>
    </w:p>
    <w:p>
      <w:pPr>
        <w:keepNext/>
        <w:keepLines/>
        <w:spacing w:before="280" w:after="290" w:line="360" w:lineRule="auto"/>
        <w:jc w:val="center"/>
        <w:outlineLvl w:val="3"/>
        <w:rPr>
          <w:rFonts w:ascii="Times New Roman" w:hAnsi="Times New Roman" w:eastAsia="宋体" w:cs="Times New Roman"/>
          <w:b/>
          <w:bCs/>
          <w:sz w:val="24"/>
          <w:szCs w:val="32"/>
          <w:lang w:val="en-GB" w:eastAsia="zh-Hans"/>
          <w14:ligatures w14:val="none"/>
        </w:rPr>
      </w:pPr>
      <w:r>
        <w:rPr>
          <w:rFonts w:hint="eastAsia" w:ascii="Times New Roman" w:hAnsi="Times New Roman" w:eastAsia="宋体" w:cs="Times New Roman"/>
          <w:b/>
          <w:bCs/>
          <w:sz w:val="24"/>
          <w:szCs w:val="32"/>
          <w:lang w:val="en-GB" w:eastAsia="zh-Hans"/>
          <w14:ligatures w14:val="none"/>
        </w:rPr>
        <w:t>考勤管理子系统</w:t>
      </w:r>
    </w:p>
    <w:p>
      <w:pPr>
        <w:spacing w:after="0" w:line="360" w:lineRule="auto"/>
        <w:jc w:val="both"/>
        <w:rPr>
          <w:rFonts w:hint="eastAsia" w:ascii="宋体" w:hAnsi="宋体" w:eastAsia="宋体" w:cs="宋体"/>
          <w:bCs/>
          <w:kern w:val="0"/>
          <w:sz w:val="24"/>
          <w:szCs w:val="22"/>
          <w:lang w:val="en-GB"/>
          <w14:ligatures w14:val="none"/>
        </w:rPr>
      </w:pPr>
      <w:r>
        <w:rPr>
          <w:rFonts w:hint="eastAsia" w:ascii="宋体" w:hAnsi="宋体" w:eastAsia="宋体" w:cs="宋体"/>
          <w:bCs/>
          <w:kern w:val="0"/>
          <w:sz w:val="24"/>
          <w:szCs w:val="22"/>
          <w:lang w:val="en-GB"/>
          <w14:ligatures w14:val="none"/>
        </w:rPr>
        <w:t>需实现对工作人员进行日常考勤管理，需支持对考勤规则、工作日时间进行配置。可查看个人和部门考勤情况，考勤情况可作为绩效考核的指标，从而实现与绩效考核联动。</w:t>
      </w:r>
    </w:p>
    <w:p>
      <w:pPr>
        <w:keepNext/>
        <w:keepLines/>
        <w:spacing w:before="280" w:after="290" w:line="360" w:lineRule="auto"/>
        <w:jc w:val="center"/>
        <w:outlineLvl w:val="3"/>
        <w:rPr>
          <w:rFonts w:ascii="Times New Roman" w:hAnsi="Times New Roman" w:eastAsia="宋体" w:cs="Times New Roman"/>
          <w:b/>
          <w:bCs/>
          <w:sz w:val="24"/>
          <w:szCs w:val="32"/>
          <w:lang w:val="en-GB" w:eastAsia="zh-Hans"/>
          <w14:ligatures w14:val="none"/>
        </w:rPr>
      </w:pPr>
      <w:r>
        <w:rPr>
          <w:rFonts w:hint="eastAsia" w:ascii="Times New Roman" w:hAnsi="Times New Roman" w:eastAsia="宋体" w:cs="Times New Roman"/>
          <w:b/>
          <w:bCs/>
          <w:sz w:val="24"/>
          <w:szCs w:val="32"/>
          <w:lang w:val="en-GB" w:eastAsia="zh-Hans"/>
          <w14:ligatures w14:val="none"/>
        </w:rPr>
        <w:t>考勤规则配置</w:t>
      </w:r>
    </w:p>
    <w:p>
      <w:pPr>
        <w:spacing w:after="0" w:line="360" w:lineRule="auto"/>
        <w:jc w:val="both"/>
        <w:rPr>
          <w:rFonts w:hint="eastAsia" w:ascii="宋体" w:hAnsi="宋体" w:eastAsia="宋体" w:cs="宋体"/>
          <w:bCs/>
          <w:kern w:val="0"/>
          <w:sz w:val="24"/>
          <w:szCs w:val="22"/>
          <w:lang w:val="en-GB"/>
          <w14:ligatures w14:val="none"/>
        </w:rPr>
      </w:pPr>
      <w:r>
        <w:rPr>
          <w:rFonts w:hint="eastAsia" w:ascii="宋体" w:hAnsi="宋体" w:eastAsia="宋体" w:cs="宋体"/>
          <w:bCs/>
          <w:kern w:val="0"/>
          <w:sz w:val="24"/>
          <w:szCs w:val="22"/>
          <w:lang w:val="en-GB"/>
          <w14:ligatures w14:val="none"/>
        </w:rPr>
        <w:t>需支持</w:t>
      </w:r>
      <w:r>
        <w:rPr>
          <w:rFonts w:hint="eastAsia" w:ascii="宋体" w:hAnsi="宋体" w:eastAsia="宋体" w:cs="宋体"/>
          <w:bCs/>
          <w:kern w:val="0"/>
          <w:sz w:val="24"/>
          <w:szCs w:val="22"/>
          <w:lang w:val="en-GB" w:eastAsia="zh-Hans"/>
          <w14:ligatures w14:val="none"/>
        </w:rPr>
        <w:t>考勤规则</w:t>
      </w:r>
      <w:r>
        <w:rPr>
          <w:rFonts w:hint="eastAsia" w:ascii="宋体" w:hAnsi="宋体" w:eastAsia="宋体" w:cs="宋体"/>
          <w:bCs/>
          <w:kern w:val="0"/>
          <w:sz w:val="24"/>
          <w:szCs w:val="22"/>
          <w:lang w:val="en-GB"/>
          <w14:ligatures w14:val="none"/>
        </w:rPr>
        <w:t>自定义</w:t>
      </w:r>
      <w:r>
        <w:rPr>
          <w:rFonts w:hint="eastAsia" w:ascii="宋体" w:hAnsi="宋体" w:eastAsia="宋体" w:cs="宋体"/>
          <w:bCs/>
          <w:kern w:val="0"/>
          <w:sz w:val="24"/>
          <w:szCs w:val="22"/>
          <w:lang w:val="en-GB" w:eastAsia="zh-Hans"/>
          <w14:ligatures w14:val="none"/>
        </w:rPr>
        <w:t>设置，对</w:t>
      </w:r>
      <w:r>
        <w:rPr>
          <w:rFonts w:hint="eastAsia" w:ascii="宋体" w:hAnsi="宋体" w:eastAsia="宋体" w:cs="宋体"/>
          <w:bCs/>
          <w:kern w:val="0"/>
          <w:sz w:val="24"/>
          <w:szCs w:val="22"/>
          <w:lang w:val="en-GB"/>
          <w14:ligatures w14:val="none"/>
        </w:rPr>
        <w:t>大厅</w:t>
      </w:r>
      <w:r>
        <w:rPr>
          <w:rFonts w:hint="eastAsia" w:ascii="宋体" w:hAnsi="宋体" w:eastAsia="宋体" w:cs="宋体"/>
          <w:bCs/>
          <w:kern w:val="0"/>
          <w:sz w:val="24"/>
          <w:szCs w:val="22"/>
          <w:lang w:val="en-GB" w:eastAsia="zh-Hans"/>
          <w14:ligatures w14:val="none"/>
        </w:rPr>
        <w:t>人员考勤内容要求进行配置管理，包括考勤时间、考勤周期、上下班考勤时间点内容及规则等</w:t>
      </w:r>
      <w:r>
        <w:rPr>
          <w:rFonts w:hint="eastAsia" w:ascii="宋体" w:hAnsi="宋体" w:eastAsia="宋体" w:cs="宋体"/>
          <w:bCs/>
          <w:kern w:val="0"/>
          <w:sz w:val="24"/>
          <w:szCs w:val="22"/>
          <w:lang w:val="en-GB"/>
          <w14:ligatures w14:val="none"/>
        </w:rPr>
        <w:t>。</w:t>
      </w:r>
    </w:p>
    <w:p>
      <w:pPr>
        <w:keepNext/>
        <w:keepLines/>
        <w:spacing w:before="280" w:after="290" w:line="360" w:lineRule="auto"/>
        <w:jc w:val="center"/>
        <w:outlineLvl w:val="3"/>
        <w:rPr>
          <w:rFonts w:ascii="Times New Roman" w:hAnsi="Times New Roman" w:eastAsia="宋体" w:cs="Times New Roman"/>
          <w:b/>
          <w:bCs/>
          <w:sz w:val="24"/>
          <w:szCs w:val="32"/>
          <w:lang w:val="en-GB" w:eastAsia="zh-Hans"/>
          <w14:ligatures w14:val="none"/>
        </w:rPr>
      </w:pPr>
      <w:r>
        <w:rPr>
          <w:rFonts w:hint="eastAsia" w:ascii="Times New Roman" w:hAnsi="Times New Roman" w:eastAsia="宋体" w:cs="Times New Roman"/>
          <w:b/>
          <w:bCs/>
          <w:sz w:val="24"/>
          <w:szCs w:val="32"/>
          <w:lang w:val="en-GB" w:eastAsia="zh-Hans"/>
          <w14:ligatures w14:val="none"/>
        </w:rPr>
        <w:t>工作日设置</w:t>
      </w:r>
    </w:p>
    <w:p>
      <w:pPr>
        <w:spacing w:after="0" w:line="360" w:lineRule="auto"/>
        <w:jc w:val="both"/>
        <w:rPr>
          <w:rFonts w:hint="eastAsia" w:ascii="宋体" w:hAnsi="宋体" w:eastAsia="宋体" w:cs="宋体"/>
          <w:bCs/>
          <w:kern w:val="0"/>
          <w:sz w:val="24"/>
          <w:szCs w:val="22"/>
          <w:lang w:val="en-GB" w:eastAsia="zh-Hans"/>
          <w14:ligatures w14:val="none"/>
        </w:rPr>
      </w:pPr>
      <w:r>
        <w:rPr>
          <w:rFonts w:hint="eastAsia" w:ascii="宋体" w:hAnsi="宋体" w:eastAsia="宋体" w:cs="宋体"/>
          <w:bCs/>
          <w:kern w:val="0"/>
          <w:sz w:val="24"/>
          <w:szCs w:val="22"/>
          <w:lang w:val="en-GB"/>
          <w14:ligatures w14:val="none"/>
        </w:rPr>
        <w:t>需支持</w:t>
      </w:r>
      <w:r>
        <w:rPr>
          <w:rFonts w:hint="eastAsia" w:ascii="宋体" w:hAnsi="宋体" w:eastAsia="宋体" w:cs="宋体"/>
          <w:bCs/>
          <w:kern w:val="0"/>
          <w:sz w:val="24"/>
          <w:szCs w:val="22"/>
          <w:lang w:val="en-GB" w:eastAsia="zh-Hans"/>
          <w14:ligatures w14:val="none"/>
        </w:rPr>
        <w:t>根据常规的工作日程安排或临时任务对工作日进行配置。</w:t>
      </w:r>
    </w:p>
    <w:p>
      <w:pPr>
        <w:keepNext/>
        <w:keepLines/>
        <w:spacing w:before="280" w:after="290" w:line="360" w:lineRule="auto"/>
        <w:jc w:val="center"/>
        <w:outlineLvl w:val="3"/>
        <w:rPr>
          <w:rFonts w:ascii="Times New Roman" w:hAnsi="Times New Roman" w:eastAsia="宋体" w:cs="Times New Roman"/>
          <w:b/>
          <w:bCs/>
          <w:sz w:val="24"/>
          <w:szCs w:val="32"/>
          <w:lang w:val="en-GB" w:eastAsia="zh-Hans"/>
          <w14:ligatures w14:val="none"/>
        </w:rPr>
      </w:pPr>
      <w:r>
        <w:rPr>
          <w:rFonts w:hint="eastAsia" w:ascii="Times New Roman" w:hAnsi="Times New Roman" w:eastAsia="宋体" w:cs="Times New Roman"/>
          <w:b/>
          <w:bCs/>
          <w:sz w:val="24"/>
          <w:szCs w:val="32"/>
          <w:lang w:val="en-GB" w:eastAsia="zh-Hans"/>
          <w14:ligatures w14:val="none"/>
        </w:rPr>
        <w:t>个人考勤表</w:t>
      </w:r>
    </w:p>
    <w:p>
      <w:pPr>
        <w:spacing w:after="0" w:line="360" w:lineRule="auto"/>
        <w:jc w:val="both"/>
        <w:rPr>
          <w:rFonts w:hint="eastAsia" w:ascii="宋体" w:hAnsi="宋体" w:eastAsia="宋体" w:cs="宋体"/>
          <w:bCs/>
          <w:kern w:val="0"/>
          <w:sz w:val="24"/>
          <w:szCs w:val="22"/>
          <w:lang w:val="en-GB"/>
          <w14:ligatures w14:val="none"/>
        </w:rPr>
      </w:pPr>
      <w:r>
        <w:rPr>
          <w:rFonts w:hint="eastAsia" w:ascii="宋体" w:hAnsi="宋体" w:eastAsia="宋体" w:cs="宋体"/>
          <w:bCs/>
          <w:kern w:val="0"/>
          <w:sz w:val="24"/>
          <w:szCs w:val="22"/>
          <w:lang w:val="en-GB"/>
          <w14:ligatures w14:val="none"/>
        </w:rPr>
        <w:t>需提供个人考勤统计功能，对工作人员所有考勤情况进行统计，并生成相应的系统报表，支持个人考勤表导入、导出。</w:t>
      </w:r>
    </w:p>
    <w:p>
      <w:pPr>
        <w:keepNext/>
        <w:keepLines/>
        <w:spacing w:before="280" w:after="290" w:line="360" w:lineRule="auto"/>
        <w:jc w:val="center"/>
        <w:outlineLvl w:val="3"/>
        <w:rPr>
          <w:rFonts w:ascii="Times New Roman" w:hAnsi="Times New Roman" w:eastAsia="宋体" w:cs="Times New Roman"/>
          <w:b/>
          <w:bCs/>
          <w:sz w:val="24"/>
          <w:szCs w:val="32"/>
          <w:lang w:val="en-GB" w:eastAsia="zh-Hans"/>
          <w14:ligatures w14:val="none"/>
        </w:rPr>
      </w:pPr>
      <w:r>
        <w:rPr>
          <w:rFonts w:hint="eastAsia" w:ascii="Times New Roman" w:hAnsi="Times New Roman" w:eastAsia="宋体" w:cs="Times New Roman"/>
          <w:b/>
          <w:bCs/>
          <w:sz w:val="24"/>
          <w:szCs w:val="32"/>
          <w:lang w:val="en-GB" w:eastAsia="zh-Hans"/>
          <w14:ligatures w14:val="none"/>
        </w:rPr>
        <w:t>部门考勤表</w:t>
      </w:r>
    </w:p>
    <w:p>
      <w:pPr>
        <w:spacing w:after="0" w:line="360" w:lineRule="auto"/>
        <w:jc w:val="both"/>
        <w:rPr>
          <w:rFonts w:hint="eastAsia" w:ascii="宋体" w:hAnsi="宋体" w:eastAsia="宋体" w:cs="宋体"/>
          <w:bCs/>
          <w:kern w:val="0"/>
          <w:sz w:val="24"/>
          <w:szCs w:val="22"/>
          <w:lang w:val="en-GB"/>
          <w14:ligatures w14:val="none"/>
        </w:rPr>
      </w:pPr>
      <w:r>
        <w:rPr>
          <w:rFonts w:hint="eastAsia" w:ascii="宋体" w:hAnsi="宋体" w:eastAsia="宋体" w:cs="宋体"/>
          <w:bCs/>
          <w:kern w:val="0"/>
          <w:sz w:val="24"/>
          <w:szCs w:val="22"/>
          <w:lang w:val="en-GB"/>
          <w14:ligatures w14:val="none"/>
        </w:rPr>
        <w:t>需提供部门考勤统计功能，部门管理员可对本部门所有人员所有考勤情况进行统计查看，并生成相应的系统报表，支持部门考勤表导入、导出。</w:t>
      </w:r>
    </w:p>
    <w:p>
      <w:pPr>
        <w:keepNext/>
        <w:keepLines/>
        <w:spacing w:before="280" w:after="290" w:line="360" w:lineRule="auto"/>
        <w:jc w:val="center"/>
        <w:outlineLvl w:val="3"/>
        <w:rPr>
          <w:rFonts w:ascii="Times New Roman" w:hAnsi="Times New Roman" w:eastAsia="宋体" w:cs="Times New Roman"/>
          <w:b/>
          <w:bCs/>
          <w:sz w:val="24"/>
          <w:szCs w:val="32"/>
          <w:lang w:val="en-GB" w:eastAsia="zh-Hans"/>
          <w14:ligatures w14:val="none"/>
        </w:rPr>
      </w:pPr>
      <w:r>
        <w:rPr>
          <w:rFonts w:hint="eastAsia" w:ascii="Times New Roman" w:hAnsi="Times New Roman" w:eastAsia="宋体" w:cs="Times New Roman"/>
          <w:b/>
          <w:bCs/>
          <w:sz w:val="24"/>
          <w:szCs w:val="32"/>
          <w:lang w:val="en-GB" w:eastAsia="zh-Hans"/>
          <w14:ligatures w14:val="none"/>
        </w:rPr>
        <w:t>请假管理子系统</w:t>
      </w:r>
    </w:p>
    <w:p>
      <w:pPr>
        <w:keepNext/>
        <w:keepLines/>
        <w:spacing w:before="280" w:after="290" w:line="360" w:lineRule="auto"/>
        <w:jc w:val="center"/>
        <w:outlineLvl w:val="3"/>
        <w:rPr>
          <w:rFonts w:ascii="Times New Roman" w:hAnsi="Times New Roman" w:eastAsia="宋体" w:cs="Times New Roman"/>
          <w:b/>
          <w:bCs/>
          <w:sz w:val="24"/>
          <w:szCs w:val="32"/>
          <w:lang w:val="en-GB"/>
          <w14:ligatures w14:val="none"/>
        </w:rPr>
      </w:pPr>
      <w:r>
        <w:rPr>
          <w:rFonts w:hint="eastAsia" w:ascii="宋体" w:hAnsi="宋体" w:eastAsia="宋体" w:cs="宋体"/>
          <w:bCs/>
          <w:kern w:val="0"/>
          <w:sz w:val="24"/>
          <w:szCs w:val="22"/>
          <w:lang w:val="en-GB"/>
          <w14:ligatures w14:val="none"/>
        </w:rPr>
        <w:t>需实现对中心工作人员的各类请销假管理，需包括我要请假、请假审核、请假统计、请假类型配置功能。</w:t>
      </w:r>
    </w:p>
    <w:p>
      <w:pPr>
        <w:keepNext/>
        <w:keepLines/>
        <w:spacing w:before="280" w:after="290" w:line="360" w:lineRule="auto"/>
        <w:jc w:val="center"/>
        <w:outlineLvl w:val="3"/>
        <w:rPr>
          <w:rFonts w:ascii="Times New Roman" w:hAnsi="Times New Roman" w:eastAsia="宋体" w:cs="Times New Roman"/>
          <w:b/>
          <w:bCs/>
          <w:sz w:val="24"/>
          <w:szCs w:val="32"/>
          <w:lang w:val="en-GB" w:eastAsia="zh-Hans"/>
          <w14:ligatures w14:val="none"/>
        </w:rPr>
      </w:pPr>
      <w:r>
        <w:rPr>
          <w:rFonts w:hint="eastAsia" w:ascii="Times New Roman" w:hAnsi="Times New Roman" w:eastAsia="宋体" w:cs="Times New Roman"/>
          <w:b/>
          <w:bCs/>
          <w:sz w:val="24"/>
          <w:szCs w:val="32"/>
          <w:lang w:val="en-GB" w:eastAsia="zh-Hans"/>
          <w14:ligatures w14:val="none"/>
        </w:rPr>
        <w:t>“萨都办”APP端-我要请假</w:t>
      </w:r>
    </w:p>
    <w:p>
      <w:pPr>
        <w:spacing w:after="0" w:line="360" w:lineRule="auto"/>
        <w:jc w:val="both"/>
        <w:rPr>
          <w:rFonts w:hint="eastAsia" w:ascii="宋体" w:hAnsi="宋体" w:eastAsia="宋体" w:cs="宋体"/>
          <w:bCs/>
          <w:kern w:val="0"/>
          <w:sz w:val="24"/>
          <w:szCs w:val="22"/>
          <w:lang w:val="en-GB"/>
          <w14:ligatures w14:val="none"/>
        </w:rPr>
      </w:pPr>
      <w:r>
        <w:rPr>
          <w:rFonts w:hint="eastAsia" w:ascii="宋体" w:hAnsi="宋体" w:eastAsia="宋体" w:cs="宋体"/>
          <w:bCs/>
          <w:kern w:val="0"/>
          <w:sz w:val="24"/>
          <w:szCs w:val="22"/>
          <w:lang w:val="en-GB"/>
          <w14:ligatures w14:val="none"/>
        </w:rPr>
        <w:t>需实现在“萨都办”APP上为工作人员提供移动端的请销假功能，便于工作人员有事可以随时通过移动端进行请假。</w:t>
      </w:r>
    </w:p>
    <w:p>
      <w:pPr>
        <w:keepNext/>
        <w:keepLines/>
        <w:spacing w:before="280" w:after="290" w:line="360" w:lineRule="auto"/>
        <w:jc w:val="center"/>
        <w:outlineLvl w:val="3"/>
        <w:rPr>
          <w:rFonts w:ascii="Times New Roman" w:hAnsi="Times New Roman" w:eastAsia="宋体" w:cs="Times New Roman"/>
          <w:b/>
          <w:bCs/>
          <w:sz w:val="24"/>
          <w:szCs w:val="32"/>
          <w:lang w:val="en-GB"/>
          <w14:ligatures w14:val="none"/>
        </w:rPr>
      </w:pPr>
      <w:r>
        <w:rPr>
          <w:rFonts w:hint="eastAsia" w:ascii="Times New Roman" w:hAnsi="Times New Roman" w:eastAsia="宋体" w:cs="Times New Roman"/>
          <w:b/>
          <w:bCs/>
          <w:sz w:val="24"/>
          <w:szCs w:val="32"/>
          <w:lang w:val="en-GB"/>
          <w14:ligatures w14:val="none"/>
        </w:rPr>
        <w:t>“萨都办”APP端-请假审核</w:t>
      </w:r>
    </w:p>
    <w:p>
      <w:pPr>
        <w:spacing w:after="0" w:line="360" w:lineRule="auto"/>
        <w:jc w:val="both"/>
        <w:rPr>
          <w:rFonts w:hint="eastAsia" w:ascii="宋体" w:hAnsi="宋体" w:eastAsia="宋体" w:cs="宋体"/>
          <w:bCs/>
          <w:kern w:val="0"/>
          <w:sz w:val="24"/>
          <w:szCs w:val="22"/>
          <w:lang w:val="en-GB"/>
          <w14:ligatures w14:val="none"/>
        </w:rPr>
      </w:pPr>
      <w:r>
        <w:rPr>
          <w:rFonts w:hint="eastAsia" w:ascii="宋体" w:hAnsi="宋体" w:eastAsia="宋体" w:cs="宋体"/>
          <w:bCs/>
          <w:kern w:val="0"/>
          <w:sz w:val="24"/>
          <w:szCs w:val="22"/>
          <w:lang w:val="en-GB"/>
          <w14:ligatures w14:val="none"/>
        </w:rPr>
        <w:t>需实现在“萨都办”APP上为管理人员提供移动端的请假审核功能，便于管理人员可以随时通过移动端进行请假审批。</w:t>
      </w:r>
    </w:p>
    <w:p>
      <w:pPr>
        <w:keepNext/>
        <w:keepLines/>
        <w:spacing w:before="280" w:after="290" w:line="360" w:lineRule="auto"/>
        <w:jc w:val="center"/>
        <w:outlineLvl w:val="3"/>
        <w:rPr>
          <w:rFonts w:ascii="Times New Roman" w:hAnsi="Times New Roman" w:eastAsia="宋体" w:cs="Times New Roman"/>
          <w:b/>
          <w:bCs/>
          <w:sz w:val="24"/>
          <w:szCs w:val="32"/>
          <w:lang w:val="en-GB"/>
          <w14:ligatures w14:val="none"/>
        </w:rPr>
      </w:pPr>
      <w:r>
        <w:rPr>
          <w:rFonts w:hint="eastAsia" w:ascii="Times New Roman" w:hAnsi="Times New Roman" w:eastAsia="宋体" w:cs="Times New Roman"/>
          <w:b/>
          <w:bCs/>
          <w:sz w:val="24"/>
          <w:szCs w:val="32"/>
          <w:lang w:val="en-GB"/>
          <w14:ligatures w14:val="none"/>
        </w:rPr>
        <w:t>后勤物品管理子系统</w:t>
      </w:r>
    </w:p>
    <w:p>
      <w:pPr>
        <w:spacing w:after="0" w:line="360" w:lineRule="auto"/>
        <w:jc w:val="both"/>
        <w:rPr>
          <w:rFonts w:hint="eastAsia" w:ascii="宋体" w:hAnsi="宋体" w:eastAsia="宋体" w:cs="宋体"/>
          <w:bCs/>
          <w:kern w:val="0"/>
          <w:sz w:val="24"/>
          <w:szCs w:val="22"/>
          <w:lang w:val="en-GB"/>
          <w14:ligatures w14:val="none"/>
        </w:rPr>
      </w:pPr>
      <w:r>
        <w:rPr>
          <w:rFonts w:hint="eastAsia" w:ascii="宋体" w:hAnsi="宋体" w:eastAsia="宋体" w:cs="宋体"/>
          <w:bCs/>
          <w:kern w:val="0"/>
          <w:sz w:val="24"/>
          <w:szCs w:val="22"/>
          <w:lang w:val="en-GB"/>
          <w14:ligatures w14:val="none"/>
        </w:rPr>
        <w:t>为了加强大厅各类后勤办公用品的管理，系统需提供物品的申领功能。为大厅资产管理工作提供全方位、可靠、高效的动态数据与决策依据，需实现物品申领管理工作的信息化、规范化与标准化，全面提升物品管理工作的工作效率与管理水平，使物品申领的管理变得轻松、准确、快捷和全面。</w:t>
      </w:r>
    </w:p>
    <w:p>
      <w:pPr>
        <w:spacing w:after="0" w:line="360" w:lineRule="auto"/>
        <w:jc w:val="both"/>
        <w:rPr>
          <w:rFonts w:hint="eastAsia" w:ascii="宋体" w:hAnsi="宋体" w:eastAsia="宋体" w:cs="宋体"/>
          <w:bCs/>
          <w:kern w:val="0"/>
          <w:sz w:val="24"/>
          <w:szCs w:val="22"/>
          <w:lang w:val="en-GB"/>
          <w14:ligatures w14:val="none"/>
        </w:rPr>
      </w:pPr>
      <w:r>
        <w:rPr>
          <w:rFonts w:hint="eastAsia" w:ascii="宋体" w:hAnsi="宋体" w:eastAsia="宋体" w:cs="宋体"/>
          <w:bCs/>
          <w:kern w:val="0"/>
          <w:sz w:val="24"/>
          <w:szCs w:val="22"/>
          <w:lang w:val="en-GB"/>
          <w14:ligatures w14:val="none"/>
        </w:rPr>
        <w:t>后勤物品管理子系统包括物品设定、物品库存管理、物品查询、物品申领、物品审核、物品出库、我的物品、物品统计功能。</w:t>
      </w:r>
    </w:p>
    <w:p>
      <w:pPr>
        <w:keepNext/>
        <w:keepLines/>
        <w:spacing w:before="140" w:after="140" w:line="360" w:lineRule="auto"/>
        <w:ind w:firstLine="481" w:firstLineChars="200"/>
        <w:jc w:val="center"/>
        <w:outlineLvl w:val="2"/>
        <w:rPr>
          <w:rFonts w:ascii="Times New Roman" w:hAnsi="Times New Roman" w:eastAsia="宋体" w:cs="Times New Roman"/>
          <w:b/>
          <w:bCs/>
          <w:sz w:val="24"/>
          <w:szCs w:val="32"/>
          <w14:ligatures w14:val="none"/>
        </w:rPr>
      </w:pPr>
      <w:r>
        <w:rPr>
          <w:rFonts w:hint="eastAsia" w:ascii="Times New Roman" w:hAnsi="Times New Roman" w:eastAsia="宋体" w:cs="Times New Roman"/>
          <w:b/>
          <w:bCs/>
          <w:sz w:val="24"/>
          <w:szCs w:val="32"/>
          <w14:ligatures w14:val="none"/>
        </w:rPr>
        <w:t>诉求管理子系统</w:t>
      </w:r>
    </w:p>
    <w:p>
      <w:pPr>
        <w:spacing w:after="0" w:line="360" w:lineRule="auto"/>
        <w:jc w:val="both"/>
        <w:rPr>
          <w:rFonts w:hint="eastAsia" w:ascii="宋体" w:hAnsi="宋体" w:eastAsia="宋体" w:cs="宋体"/>
          <w:bCs/>
          <w:kern w:val="0"/>
          <w:sz w:val="24"/>
          <w:szCs w:val="22"/>
          <w:lang w:val="en-GB"/>
          <w14:ligatures w14:val="none"/>
        </w:rPr>
      </w:pPr>
      <w:r>
        <w:rPr>
          <w:rFonts w:hint="eastAsia" w:ascii="宋体" w:hAnsi="宋体" w:eastAsia="宋体" w:cs="宋体"/>
          <w:bCs/>
          <w:kern w:val="0"/>
          <w:sz w:val="24"/>
          <w:szCs w:val="22"/>
          <w:lang w:val="en-GB"/>
          <w14:ligatures w14:val="none"/>
        </w:rPr>
        <w:t>诉求管理子系统需包含诉求登记受理、诉求处置、</w:t>
      </w:r>
      <w:bookmarkStart w:id="14" w:name="_Toc139035641"/>
      <w:r>
        <w:rPr>
          <w:rFonts w:hint="eastAsia" w:ascii="宋体" w:hAnsi="宋体" w:eastAsia="宋体" w:cs="宋体"/>
          <w:bCs/>
          <w:kern w:val="0"/>
          <w:sz w:val="24"/>
          <w:szCs w:val="22"/>
          <w:lang w:val="en-GB"/>
          <w14:ligatures w14:val="none"/>
        </w:rPr>
        <w:t>表扬</w:t>
      </w:r>
      <w:bookmarkEnd w:id="14"/>
      <w:r>
        <w:rPr>
          <w:rFonts w:hint="eastAsia" w:ascii="宋体" w:hAnsi="宋体" w:eastAsia="宋体" w:cs="宋体"/>
          <w:bCs/>
          <w:kern w:val="0"/>
          <w:sz w:val="24"/>
          <w:szCs w:val="22"/>
          <w:lang w:val="en-GB"/>
          <w14:ligatures w14:val="none"/>
        </w:rPr>
        <w:t>登记受理功能。</w:t>
      </w:r>
    </w:p>
    <w:p>
      <w:pPr>
        <w:keepNext/>
        <w:keepLines/>
        <w:spacing w:before="140" w:after="140" w:line="360" w:lineRule="auto"/>
        <w:ind w:firstLine="481" w:firstLineChars="200"/>
        <w:jc w:val="center"/>
        <w:outlineLvl w:val="2"/>
        <w:rPr>
          <w:rFonts w:ascii="Times New Roman" w:hAnsi="Times New Roman" w:eastAsia="宋体" w:cs="Times New Roman"/>
          <w:b/>
          <w:bCs/>
          <w:sz w:val="24"/>
          <w:szCs w:val="32"/>
          <w14:ligatures w14:val="none"/>
        </w:rPr>
      </w:pPr>
      <w:bookmarkStart w:id="15" w:name="_Toc100225125"/>
      <w:bookmarkStart w:id="16" w:name="_Toc139035639"/>
      <w:r>
        <w:rPr>
          <w:rFonts w:hint="eastAsia" w:ascii="Times New Roman" w:hAnsi="Times New Roman" w:eastAsia="宋体" w:cs="Times New Roman"/>
          <w:b/>
          <w:bCs/>
          <w:sz w:val="24"/>
          <w:szCs w:val="32"/>
          <w14:ligatures w14:val="none"/>
        </w:rPr>
        <w:t>诉求登记受理</w:t>
      </w:r>
      <w:bookmarkEnd w:id="15"/>
      <w:bookmarkEnd w:id="16"/>
    </w:p>
    <w:p>
      <w:pPr>
        <w:spacing w:after="0" w:line="360" w:lineRule="auto"/>
        <w:jc w:val="both"/>
        <w:rPr>
          <w:rFonts w:hint="eastAsia" w:ascii="宋体" w:hAnsi="宋体" w:eastAsia="宋体" w:cs="宋体"/>
          <w:bCs/>
          <w:kern w:val="0"/>
          <w:sz w:val="24"/>
          <w:szCs w:val="22"/>
          <w:lang w:val="en-GB"/>
          <w14:ligatures w14:val="none"/>
        </w:rPr>
      </w:pPr>
      <w:r>
        <w:rPr>
          <w:rFonts w:hint="eastAsia" w:ascii="宋体" w:hAnsi="宋体" w:eastAsia="宋体" w:cs="宋体"/>
          <w:bCs/>
          <w:kern w:val="0"/>
          <w:sz w:val="24"/>
          <w:szCs w:val="22"/>
          <w:lang w:val="en-GB"/>
          <w14:ligatures w14:val="none"/>
        </w:rPr>
        <w:t>主要供专门的诉求处置人员使用，需实现可通过该系统进行诉求登记和流转，分派给相关后台部门处置人员进行实际问题处理。</w:t>
      </w:r>
    </w:p>
    <w:p>
      <w:pPr>
        <w:keepNext/>
        <w:keepLines/>
        <w:spacing w:before="140" w:after="140" w:line="360" w:lineRule="auto"/>
        <w:ind w:firstLine="481" w:firstLineChars="200"/>
        <w:jc w:val="center"/>
        <w:outlineLvl w:val="2"/>
        <w:rPr>
          <w:rFonts w:ascii="Times New Roman" w:hAnsi="Times New Roman" w:eastAsia="宋体" w:cs="Times New Roman"/>
          <w:b/>
          <w:bCs/>
          <w:sz w:val="24"/>
          <w:szCs w:val="32"/>
          <w14:ligatures w14:val="none"/>
        </w:rPr>
      </w:pPr>
      <w:bookmarkStart w:id="17" w:name="_Toc139035640"/>
      <w:bookmarkStart w:id="18" w:name="_Toc100225126"/>
      <w:r>
        <w:rPr>
          <w:rFonts w:hint="eastAsia" w:ascii="Times New Roman" w:hAnsi="Times New Roman" w:eastAsia="宋体" w:cs="Times New Roman"/>
          <w:b/>
          <w:bCs/>
          <w:sz w:val="24"/>
          <w:szCs w:val="32"/>
          <w14:ligatures w14:val="none"/>
        </w:rPr>
        <w:t>诉求处置</w:t>
      </w:r>
      <w:bookmarkEnd w:id="17"/>
      <w:bookmarkEnd w:id="18"/>
    </w:p>
    <w:p>
      <w:pPr>
        <w:spacing w:after="0" w:line="360" w:lineRule="auto"/>
        <w:jc w:val="both"/>
        <w:rPr>
          <w:rFonts w:hint="eastAsia" w:ascii="宋体" w:hAnsi="宋体" w:eastAsia="宋体" w:cs="宋体"/>
          <w:bCs/>
          <w:kern w:val="0"/>
          <w:sz w:val="24"/>
          <w:szCs w:val="22"/>
          <w:lang w:val="en-GB"/>
          <w14:ligatures w14:val="none"/>
        </w:rPr>
      </w:pPr>
      <w:r>
        <w:rPr>
          <w:rFonts w:hint="eastAsia" w:ascii="宋体" w:hAnsi="宋体" w:eastAsia="宋体" w:cs="宋体"/>
          <w:bCs/>
          <w:kern w:val="0"/>
          <w:sz w:val="24"/>
          <w:szCs w:val="22"/>
          <w:lang w:val="en-GB"/>
          <w14:ligatures w14:val="none"/>
        </w:rPr>
        <w:t>主要提供给各承办部门使用，需实现用于日常工单的流转处置，确保诉求人的诉求处置流程能够通过全流程线上处理、跟踪。若不需要回访，部门提交数据后，直接办结；若需要回访，则填写回访信息后再办结，如果是群众填写的数据，默认需要电话回访。</w:t>
      </w:r>
    </w:p>
    <w:p>
      <w:pPr>
        <w:keepNext/>
        <w:keepLines/>
        <w:spacing w:before="140" w:after="140" w:line="360" w:lineRule="auto"/>
        <w:ind w:firstLine="481" w:firstLineChars="200"/>
        <w:jc w:val="center"/>
        <w:outlineLvl w:val="2"/>
        <w:rPr>
          <w:rFonts w:ascii="Times New Roman" w:hAnsi="Times New Roman" w:eastAsia="宋体" w:cs="Times New Roman"/>
          <w:b/>
          <w:bCs/>
          <w:sz w:val="24"/>
          <w:szCs w:val="32"/>
          <w14:ligatures w14:val="none"/>
        </w:rPr>
      </w:pPr>
      <w:r>
        <w:rPr>
          <w:rFonts w:hint="eastAsia" w:ascii="Times New Roman" w:hAnsi="Times New Roman" w:eastAsia="宋体" w:cs="Times New Roman"/>
          <w:b/>
          <w:bCs/>
          <w:sz w:val="24"/>
          <w:szCs w:val="32"/>
          <w14:ligatures w14:val="none"/>
        </w:rPr>
        <w:t>表扬登记受理</w:t>
      </w:r>
    </w:p>
    <w:p>
      <w:pPr>
        <w:spacing w:after="0" w:line="360" w:lineRule="auto"/>
        <w:jc w:val="both"/>
        <w:rPr>
          <w:rFonts w:hint="eastAsia" w:ascii="宋体" w:hAnsi="宋体" w:eastAsia="宋体" w:cs="宋体"/>
          <w:bCs/>
          <w:kern w:val="0"/>
          <w:sz w:val="24"/>
          <w:szCs w:val="22"/>
          <w:lang w:val="en-GB"/>
          <w14:ligatures w14:val="none"/>
        </w:rPr>
      </w:pPr>
      <w:r>
        <w:rPr>
          <w:rFonts w:hint="eastAsia" w:ascii="宋体" w:hAnsi="宋体" w:eastAsia="宋体" w:cs="宋体"/>
          <w:bCs/>
          <w:kern w:val="0"/>
          <w:sz w:val="24"/>
          <w:szCs w:val="22"/>
          <w:lang w:val="en-GB"/>
          <w14:ligatures w14:val="none"/>
        </w:rPr>
        <w:t>需提供线上表扬登记模块，支持群众登记所想表扬的工作人员，经过后台审核无误后，实现在线上将受表扬的工作人员进行滚动展示宣传。</w:t>
      </w:r>
    </w:p>
    <w:p>
      <w:pPr>
        <w:keepNext/>
        <w:keepLines/>
        <w:spacing w:before="140" w:after="140" w:line="360" w:lineRule="auto"/>
        <w:ind w:firstLine="481" w:firstLineChars="200"/>
        <w:jc w:val="center"/>
        <w:outlineLvl w:val="2"/>
        <w:rPr>
          <w:rFonts w:ascii="Times New Roman" w:hAnsi="Times New Roman" w:eastAsia="宋体" w:cs="Times New Roman"/>
          <w:b/>
          <w:bCs/>
          <w:sz w:val="24"/>
          <w:szCs w:val="32"/>
          <w14:ligatures w14:val="none"/>
        </w:rPr>
      </w:pPr>
      <w:r>
        <w:rPr>
          <w:rFonts w:hint="eastAsia" w:ascii="Times New Roman" w:hAnsi="Times New Roman" w:eastAsia="宋体" w:cs="Times New Roman"/>
          <w:b/>
          <w:bCs/>
          <w:sz w:val="24"/>
          <w:szCs w:val="32"/>
          <w14:ligatures w14:val="none"/>
        </w:rPr>
        <w:t>人员监控管理子系统</w:t>
      </w:r>
    </w:p>
    <w:p>
      <w:pPr>
        <w:keepNext/>
        <w:keepLines/>
        <w:spacing w:before="140" w:after="140" w:line="360" w:lineRule="auto"/>
        <w:ind w:firstLine="481" w:firstLineChars="200"/>
        <w:jc w:val="center"/>
        <w:outlineLvl w:val="2"/>
        <w:rPr>
          <w:rFonts w:ascii="Times New Roman" w:hAnsi="Times New Roman" w:eastAsia="宋体" w:cs="Times New Roman"/>
          <w:b/>
          <w:bCs/>
          <w:sz w:val="24"/>
          <w:szCs w:val="32"/>
          <w:lang w:val="en-GB"/>
          <w14:ligatures w14:val="none"/>
        </w:rPr>
      </w:pPr>
      <w:r>
        <w:rPr>
          <w:rFonts w:hint="eastAsia" w:ascii="Times New Roman" w:hAnsi="Times New Roman" w:eastAsia="宋体" w:cs="Times New Roman"/>
          <w:b/>
          <w:bCs/>
          <w:sz w:val="24"/>
          <w:szCs w:val="32"/>
          <w:lang w:val="en-GB"/>
          <w14:ligatures w14:val="none"/>
        </w:rPr>
        <w:t>实时监控</w:t>
      </w:r>
    </w:p>
    <w:p>
      <w:pPr>
        <w:spacing w:after="0" w:line="360" w:lineRule="auto"/>
        <w:jc w:val="both"/>
        <w:rPr>
          <w:rFonts w:hint="eastAsia" w:ascii="宋体" w:hAnsi="宋体" w:eastAsia="宋体" w:cs="宋体"/>
          <w:bCs/>
          <w:kern w:val="0"/>
          <w:sz w:val="24"/>
          <w:szCs w:val="22"/>
          <w:lang w:val="en-GB"/>
          <w14:ligatures w14:val="none"/>
        </w:rPr>
      </w:pPr>
      <w:r>
        <w:rPr>
          <w:rFonts w:hint="eastAsia" w:ascii="宋体" w:hAnsi="宋体" w:eastAsia="宋体" w:cs="宋体"/>
          <w:bCs/>
          <w:kern w:val="0"/>
          <w:sz w:val="24"/>
          <w:szCs w:val="22"/>
          <w:lang w:val="en-GB"/>
          <w14:ligatures w14:val="none"/>
        </w:rPr>
        <w:t>需实现通过与窗口工位监控摄像头的对接，能直接调用窗口工位摄像头的实时画面。</w:t>
      </w:r>
    </w:p>
    <w:p>
      <w:pPr>
        <w:keepNext/>
        <w:keepLines/>
        <w:spacing w:before="140" w:after="140" w:line="360" w:lineRule="auto"/>
        <w:ind w:firstLine="481" w:firstLineChars="200"/>
        <w:jc w:val="center"/>
        <w:outlineLvl w:val="2"/>
        <w:rPr>
          <w:rFonts w:ascii="Times New Roman" w:hAnsi="Times New Roman" w:eastAsia="宋体" w:cs="Times New Roman"/>
          <w:b/>
          <w:bCs/>
          <w:sz w:val="24"/>
          <w:szCs w:val="32"/>
          <w:lang w:val="en-GB"/>
          <w14:ligatures w14:val="none"/>
        </w:rPr>
      </w:pPr>
      <w:r>
        <w:rPr>
          <w:rFonts w:hint="eastAsia" w:ascii="Times New Roman" w:hAnsi="Times New Roman" w:eastAsia="宋体" w:cs="Times New Roman"/>
          <w:b/>
          <w:bCs/>
          <w:sz w:val="24"/>
          <w:szCs w:val="32"/>
          <w:lang w:val="en-GB"/>
          <w14:ligatures w14:val="none"/>
        </w:rPr>
        <w:t>配置管理</w:t>
      </w:r>
    </w:p>
    <w:p>
      <w:pPr>
        <w:spacing w:after="0" w:line="360" w:lineRule="auto"/>
        <w:jc w:val="both"/>
        <w:rPr>
          <w:rFonts w:hint="eastAsia" w:ascii="宋体" w:hAnsi="宋体" w:eastAsia="宋体" w:cs="宋体"/>
          <w:bCs/>
          <w:kern w:val="0"/>
          <w:sz w:val="24"/>
          <w:szCs w:val="22"/>
          <w:lang w:val="en-GB"/>
          <w14:ligatures w14:val="none"/>
        </w:rPr>
      </w:pPr>
      <w:r>
        <w:rPr>
          <w:rFonts w:hint="eastAsia" w:ascii="宋体" w:hAnsi="宋体" w:eastAsia="宋体" w:cs="宋体"/>
          <w:bCs/>
          <w:kern w:val="0"/>
          <w:sz w:val="24"/>
          <w:szCs w:val="22"/>
          <w:lang w:val="en-GB"/>
          <w14:ligatures w14:val="none"/>
        </w:rPr>
        <w:t>需提供包括</w:t>
      </w:r>
      <w:r>
        <w:rPr>
          <w:rFonts w:hint="eastAsia" w:ascii="宋体" w:hAnsi="宋体" w:eastAsia="宋体" w:cs="宋体"/>
          <w:bCs/>
          <w:kern w:val="0"/>
          <w:sz w:val="24"/>
          <w:szCs w:val="22"/>
          <w:lang w:val="en-GB" w:eastAsia="zh-Hans"/>
          <w14:ligatures w14:val="none"/>
        </w:rPr>
        <w:t>人员信息管理</w:t>
      </w:r>
      <w:r>
        <w:rPr>
          <w:rFonts w:hint="eastAsia" w:ascii="宋体" w:hAnsi="宋体" w:eastAsia="宋体" w:cs="宋体"/>
          <w:bCs/>
          <w:kern w:val="0"/>
          <w:sz w:val="24"/>
          <w:szCs w:val="22"/>
          <w:lang w:val="en-GB"/>
          <w14:ligatures w14:val="none"/>
        </w:rPr>
        <w:t>、</w:t>
      </w:r>
      <w:r>
        <w:rPr>
          <w:rFonts w:hint="eastAsia" w:ascii="宋体" w:hAnsi="宋体" w:eastAsia="宋体" w:cs="宋体"/>
          <w:bCs/>
          <w:kern w:val="0"/>
          <w:sz w:val="24"/>
          <w:szCs w:val="22"/>
          <w:lang w:val="en-GB" w:eastAsia="zh-Hans"/>
          <w14:ligatures w14:val="none"/>
        </w:rPr>
        <w:t>设备管理</w:t>
      </w:r>
      <w:r>
        <w:rPr>
          <w:rFonts w:hint="eastAsia" w:ascii="宋体" w:hAnsi="宋体" w:eastAsia="宋体" w:cs="宋体"/>
          <w:bCs/>
          <w:kern w:val="0"/>
          <w:sz w:val="24"/>
          <w:szCs w:val="22"/>
          <w:lang w:val="en-GB"/>
          <w14:ligatures w14:val="none"/>
        </w:rPr>
        <w:t>功能模块。</w:t>
      </w:r>
    </w:p>
    <w:p>
      <w:pPr>
        <w:keepNext/>
        <w:keepLines/>
        <w:spacing w:before="140" w:after="140" w:line="360" w:lineRule="auto"/>
        <w:ind w:firstLine="481" w:firstLineChars="200"/>
        <w:jc w:val="center"/>
        <w:outlineLvl w:val="2"/>
        <w:rPr>
          <w:rFonts w:ascii="Times New Roman" w:hAnsi="Times New Roman" w:eastAsia="宋体" w:cs="Times New Roman"/>
          <w:b/>
          <w:bCs/>
          <w:sz w:val="24"/>
          <w:szCs w:val="32"/>
          <w14:ligatures w14:val="none"/>
        </w:rPr>
      </w:pPr>
      <w:bookmarkStart w:id="19" w:name="_Toc24000"/>
      <w:r>
        <w:rPr>
          <w:rFonts w:hint="eastAsia" w:ascii="Times New Roman" w:hAnsi="Times New Roman" w:eastAsia="宋体" w:cs="Times New Roman"/>
          <w:b/>
          <w:bCs/>
          <w:sz w:val="24"/>
          <w:szCs w:val="32"/>
          <w14:ligatures w14:val="none"/>
        </w:rPr>
        <w:t>绩效考核系统升级</w:t>
      </w:r>
    </w:p>
    <w:p>
      <w:pPr>
        <w:spacing w:after="0" w:line="360" w:lineRule="auto"/>
        <w:jc w:val="both"/>
        <w:rPr>
          <w:rFonts w:hint="eastAsia" w:ascii="宋体" w:hAnsi="宋体" w:eastAsia="宋体" w:cs="宋体"/>
          <w:bCs/>
          <w:kern w:val="0"/>
          <w:sz w:val="24"/>
          <w:szCs w:val="22"/>
          <w:lang w:val="en-GB"/>
          <w14:ligatures w14:val="none"/>
        </w:rPr>
      </w:pPr>
      <w:r>
        <w:rPr>
          <w:rFonts w:hint="eastAsia" w:ascii="宋体" w:hAnsi="宋体" w:eastAsia="宋体" w:cs="宋体"/>
          <w:bCs/>
          <w:kern w:val="0"/>
          <w:sz w:val="24"/>
          <w:szCs w:val="22"/>
          <w:lang w:val="en-GB"/>
          <w14:ligatures w14:val="none"/>
        </w:rPr>
        <w:t>绩效考核系统升级需提供窗口效能评估、发起考评、正在考评、我的考评、我的申诉、申诉处理、绩效统计功能。</w:t>
      </w:r>
    </w:p>
    <w:p>
      <w:pPr>
        <w:keepNext/>
        <w:keepLines/>
        <w:spacing w:before="140" w:after="140" w:line="360" w:lineRule="auto"/>
        <w:jc w:val="center"/>
        <w:outlineLvl w:val="1"/>
        <w:rPr>
          <w:rFonts w:ascii="Times New Roman" w:hAnsi="Times New Roman" w:eastAsia="宋体" w:cs="Times New Roman"/>
          <w:b/>
          <w:bCs/>
          <w:sz w:val="24"/>
          <w:szCs w:val="32"/>
          <w:lang w:val="en-GB"/>
          <w14:ligatures w14:val="none"/>
        </w:rPr>
      </w:pPr>
      <w:r>
        <w:rPr>
          <w:rFonts w:hint="eastAsia" w:ascii="Times New Roman" w:hAnsi="Times New Roman" w:eastAsia="宋体" w:cs="Times New Roman"/>
          <w:b/>
          <w:bCs/>
          <w:sz w:val="24"/>
          <w:szCs w:val="32"/>
          <w:lang w:val="en-GB"/>
          <w14:ligatures w14:val="none"/>
        </w:rPr>
        <w:t>智能化运营</w:t>
      </w:r>
      <w:bookmarkEnd w:id="19"/>
    </w:p>
    <w:p>
      <w:pPr>
        <w:keepNext/>
        <w:keepLines/>
        <w:spacing w:before="140" w:after="140" w:line="360" w:lineRule="auto"/>
        <w:jc w:val="center"/>
        <w:outlineLvl w:val="1"/>
        <w:rPr>
          <w:rFonts w:ascii="Times New Roman" w:hAnsi="Times New Roman" w:eastAsia="宋体" w:cs="Times New Roman"/>
          <w:b/>
          <w:bCs/>
          <w:sz w:val="24"/>
          <w:szCs w:val="32"/>
          <w:lang w:val="en-GB"/>
          <w14:ligatures w14:val="none"/>
        </w:rPr>
      </w:pPr>
      <w:r>
        <w:rPr>
          <w:rFonts w:hint="eastAsia" w:ascii="Times New Roman" w:hAnsi="Times New Roman" w:eastAsia="宋体" w:cs="Times New Roman"/>
          <w:b/>
          <w:bCs/>
          <w:sz w:val="24"/>
          <w:szCs w:val="32"/>
          <w:lang w:val="en-GB"/>
          <w14:ligatures w14:val="none"/>
        </w:rPr>
        <w:t>领导驾驶舱</w:t>
      </w:r>
    </w:p>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en-GB"/>
          <w14:ligatures w14:val="none"/>
        </w:rPr>
        <w:t>通过对大厅业务相关数据进行深入的统计分析，将这些分析结果通过直观的可视化方式展现给政务服务中心，从而为领导层提供科学决策的辅助支持，确保决策过程更加精准和高效。</w:t>
      </w:r>
    </w:p>
    <w:p>
      <w:pPr>
        <w:spacing w:after="0" w:line="360" w:lineRule="auto"/>
        <w:jc w:val="both"/>
        <w:rPr>
          <w:rFonts w:ascii="宋体" w:hAnsi="Times New Roman" w:eastAsia="宋体" w:cs="Times New Roman"/>
          <w:kern w:val="0"/>
          <w:sz w:val="34"/>
          <w:szCs w:val="22"/>
          <w:lang w:val="zh-CN" w:eastAsia="zh-Hans"/>
          <w14:ligatures w14:val="none"/>
        </w:rPr>
      </w:pPr>
      <w:r>
        <w:rPr>
          <w:rFonts w:hint="eastAsia" w:ascii="宋体" w:hAnsi="宋体" w:eastAsia="宋体" w:cs="宋体"/>
          <w:bCs/>
          <w:kern w:val="0"/>
          <w:sz w:val="24"/>
          <w:szCs w:val="22"/>
          <w:lang w:val="zh-CN" w:eastAsia="zh-Hans"/>
          <w14:ligatures w14:val="none"/>
        </w:rPr>
        <w:t>系统</w:t>
      </w:r>
      <w:r>
        <w:rPr>
          <w:rFonts w:hint="eastAsia" w:ascii="宋体" w:hAnsi="宋体" w:eastAsia="宋体" w:cs="宋体"/>
          <w:bCs/>
          <w:kern w:val="0"/>
          <w:sz w:val="24"/>
          <w:szCs w:val="22"/>
          <w:lang w:val="en-GB"/>
          <w14:ligatures w14:val="none"/>
        </w:rPr>
        <w:t>需</w:t>
      </w:r>
      <w:r>
        <w:rPr>
          <w:rFonts w:hint="eastAsia" w:ascii="宋体" w:hAnsi="宋体" w:eastAsia="宋体" w:cs="宋体"/>
          <w:bCs/>
          <w:kern w:val="0"/>
          <w:sz w:val="24"/>
          <w:szCs w:val="22"/>
          <w:lang w:val="zh-CN" w:eastAsia="zh-Hans"/>
          <w14:ligatures w14:val="none"/>
        </w:rPr>
        <w:t>提供丰富的信息展示及发布方式，包括趋势图、对比图、比例图、三维图大量的图形分析，图形具备缩放、动态效果，帮助用户更加直观地进行分析决策。在分析过程中形成多维分析报表，可对其数据进行计算、编辑操作，可以基于多维分析报表生成多种多样的图形展现形式，而且在对数据进行分析时，数据与图形可实现联动的数据刷新。</w:t>
      </w:r>
    </w:p>
    <w:p>
      <w:pPr>
        <w:keepNext/>
        <w:keepLines/>
        <w:spacing w:before="140" w:after="140" w:line="360" w:lineRule="auto"/>
        <w:jc w:val="center"/>
        <w:outlineLvl w:val="1"/>
        <w:rPr>
          <w:rFonts w:ascii="Times New Roman" w:hAnsi="Times New Roman" w:eastAsia="宋体" w:cs="Times New Roman"/>
          <w:b/>
          <w:bCs/>
          <w:sz w:val="24"/>
          <w:szCs w:val="32"/>
          <w:lang w:val="en-GB"/>
          <w14:ligatures w14:val="none"/>
        </w:rPr>
      </w:pPr>
      <w:r>
        <w:rPr>
          <w:rFonts w:hint="eastAsia" w:ascii="Times New Roman" w:hAnsi="Times New Roman" w:eastAsia="宋体" w:cs="Times New Roman"/>
          <w:b/>
          <w:bCs/>
          <w:sz w:val="24"/>
          <w:szCs w:val="32"/>
          <w:lang w:val="en-GB"/>
          <w14:ligatures w14:val="none"/>
        </w:rPr>
        <w:t>线下三级政务大厅全域运行数据可视化分析展示</w:t>
      </w:r>
    </w:p>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线下三级政务大厅全域运行数据可视化分析展示功能需提供群众侧数据展示以及工作人员侧数据展示。</w:t>
      </w:r>
    </w:p>
    <w:p>
      <w:pPr>
        <w:keepNext/>
        <w:keepLines/>
        <w:spacing w:before="140" w:after="140" w:line="360" w:lineRule="auto"/>
        <w:jc w:val="center"/>
        <w:outlineLvl w:val="1"/>
        <w:rPr>
          <w:rFonts w:ascii="Times New Roman" w:hAnsi="Times New Roman" w:eastAsia="宋体" w:cs="Times New Roman"/>
          <w:b/>
          <w:bCs/>
          <w:sz w:val="24"/>
          <w:szCs w:val="32"/>
          <w:lang w:val="en-GB"/>
          <w14:ligatures w14:val="none"/>
        </w:rPr>
      </w:pPr>
      <w:r>
        <w:rPr>
          <w:rFonts w:hint="eastAsia" w:ascii="Times New Roman" w:hAnsi="Times New Roman" w:eastAsia="宋体" w:cs="Times New Roman"/>
          <w:b/>
          <w:bCs/>
          <w:sz w:val="24"/>
          <w:szCs w:val="32"/>
          <w:lang w:val="en-GB"/>
          <w14:ligatures w14:val="none"/>
        </w:rPr>
        <w:t>线上一体化政务服务平台数据可视化分析展示</w:t>
      </w:r>
    </w:p>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需对一体化平台中高频办理事项、大厅办事线上预约情况、帮办代办数据、好差评情况、一件事办理情况、跨省通办情况、自助终端办理情况、证照打印情况数据进行统计分析并展示，以及中介超市的使用情况包括中介机构、中介事项、中介服务办件、平均用时据展示，供领导决策分析做数据支撑。</w:t>
      </w:r>
    </w:p>
    <w:p>
      <w:pPr>
        <w:keepNext/>
        <w:keepLines/>
        <w:spacing w:before="140" w:after="140" w:line="360" w:lineRule="auto"/>
        <w:jc w:val="center"/>
        <w:outlineLvl w:val="1"/>
        <w:rPr>
          <w:rFonts w:ascii="Times New Roman" w:hAnsi="Times New Roman" w:eastAsia="宋体" w:cs="Times New Roman"/>
          <w:b/>
          <w:bCs/>
          <w:sz w:val="24"/>
          <w:szCs w:val="32"/>
          <w:lang w:val="en-GB"/>
          <w14:ligatures w14:val="none"/>
        </w:rPr>
      </w:pPr>
      <w:r>
        <w:rPr>
          <w:rFonts w:hint="eastAsia" w:ascii="Times New Roman" w:hAnsi="Times New Roman" w:eastAsia="宋体" w:cs="Times New Roman"/>
          <w:b/>
          <w:bCs/>
          <w:sz w:val="24"/>
          <w:szCs w:val="32"/>
          <w:lang w:val="en-GB"/>
          <w14:ligatures w14:val="none"/>
        </w:rPr>
        <w:t>区县数据可视化分析展示</w:t>
      </w:r>
    </w:p>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区县数据可视化分析展示需提供区县排队叫号数据展示、区县办件数据展示功能。</w:t>
      </w:r>
    </w:p>
    <w:p>
      <w:pPr>
        <w:keepNext/>
        <w:keepLines/>
        <w:spacing w:before="140" w:after="140" w:line="360" w:lineRule="auto"/>
        <w:jc w:val="center"/>
        <w:outlineLvl w:val="1"/>
        <w:rPr>
          <w:rFonts w:ascii="Times New Roman" w:hAnsi="Times New Roman" w:eastAsia="宋体" w:cs="Times New Roman"/>
          <w:b/>
          <w:bCs/>
          <w:sz w:val="24"/>
          <w:szCs w:val="32"/>
          <w:lang w:val="en-GB"/>
          <w14:ligatures w14:val="none"/>
        </w:rPr>
      </w:pPr>
      <w:bookmarkStart w:id="20" w:name="_Toc432"/>
      <w:r>
        <w:rPr>
          <w:rFonts w:hint="eastAsia" w:ascii="Times New Roman" w:hAnsi="Times New Roman" w:eastAsia="宋体" w:cs="Times New Roman"/>
          <w:b/>
          <w:bCs/>
          <w:sz w:val="24"/>
          <w:szCs w:val="32"/>
          <w:lang w:val="en-GB"/>
          <w14:ligatures w14:val="none"/>
        </w:rPr>
        <w:t>智能化拓展</w:t>
      </w:r>
      <w:bookmarkEnd w:id="20"/>
    </w:p>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1、诉求管理子系统相关对接与整合</w:t>
      </w:r>
    </w:p>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需实现与拉萨12345对接，获取办事相关的咨询投诉信息，并能在诉求受理系统中呈现。</w:t>
      </w:r>
    </w:p>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2、考勤管理子系统相关对接与整合</w:t>
      </w:r>
    </w:p>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需实现与考勤机对接，获取人员考勤数据，为绩效管理子系统提供部分数据依据。</w:t>
      </w:r>
    </w:p>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3、人员监控管理子系统相关对接与整合</w:t>
      </w:r>
    </w:p>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需实现与大厅监控摄像对接，获取监控视频数据，为大厅人员监控管理提供视频数据支撑。</w:t>
      </w:r>
    </w:p>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4、领导驾驶舱相关对接与整合</w:t>
      </w:r>
    </w:p>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需提供排号数据标准接口开发、办件数据标准接口开发服务。</w:t>
      </w:r>
    </w:p>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5、系统接口拓展</w:t>
      </w:r>
    </w:p>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需支持预留标准扩展接口，为后续系统建设过程中预估涉及的其他基础信息系统数据传输、信息同步提供支撑</w:t>
      </w:r>
    </w:p>
    <w:p>
      <w:pPr>
        <w:keepNext/>
        <w:keepLines/>
        <w:spacing w:before="140" w:after="140" w:line="360" w:lineRule="auto"/>
        <w:jc w:val="center"/>
        <w:outlineLvl w:val="1"/>
        <w:rPr>
          <w:rFonts w:ascii="Times New Roman" w:hAnsi="Times New Roman" w:eastAsia="宋体" w:cs="Times New Roman"/>
          <w:b/>
          <w:bCs/>
          <w:sz w:val="24"/>
          <w:szCs w:val="32"/>
          <w:lang w:val="en-GB"/>
          <w14:ligatures w14:val="none"/>
        </w:rPr>
      </w:pPr>
      <w:r>
        <w:rPr>
          <w:rFonts w:hint="eastAsia" w:ascii="Times New Roman" w:hAnsi="Times New Roman" w:eastAsia="宋体" w:cs="Times New Roman"/>
          <w:b/>
          <w:bCs/>
          <w:sz w:val="24"/>
          <w:szCs w:val="32"/>
          <w:lang w:val="en-GB"/>
          <w14:ligatures w14:val="none"/>
        </w:rPr>
        <w:t>硬件需求</w:t>
      </w:r>
    </w:p>
    <w:tbl>
      <w:tblPr>
        <w:tblStyle w:val="7"/>
        <w:tblW w:w="4997" w:type="pct"/>
        <w:tblInd w:w="0" w:type="dxa"/>
        <w:tblLayout w:type="autofit"/>
        <w:tblCellMar>
          <w:top w:w="0" w:type="dxa"/>
          <w:left w:w="108" w:type="dxa"/>
          <w:bottom w:w="0" w:type="dxa"/>
          <w:right w:w="108" w:type="dxa"/>
        </w:tblCellMar>
      </w:tblPr>
      <w:tblGrid>
        <w:gridCol w:w="1012"/>
        <w:gridCol w:w="1701"/>
        <w:gridCol w:w="5451"/>
        <w:gridCol w:w="1182"/>
        <w:gridCol w:w="1193"/>
      </w:tblGrid>
      <w:tr>
        <w:trPr>
          <w:trHeight w:val="90" w:hRule="atLeast"/>
        </w:trPr>
        <w:tc>
          <w:tcPr>
            <w:tcW w:w="480"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序号</w:t>
            </w:r>
          </w:p>
        </w:tc>
        <w:tc>
          <w:tcPr>
            <w:tcW w:w="807"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产品名称</w:t>
            </w:r>
          </w:p>
        </w:tc>
        <w:tc>
          <w:tcPr>
            <w:tcW w:w="2584"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参数</w:t>
            </w:r>
          </w:p>
        </w:tc>
        <w:tc>
          <w:tcPr>
            <w:tcW w:w="561"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单位</w:t>
            </w:r>
          </w:p>
        </w:tc>
        <w:tc>
          <w:tcPr>
            <w:tcW w:w="565"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数量</w:t>
            </w:r>
          </w:p>
        </w:tc>
      </w:tr>
      <w:tr>
        <w:trPr>
          <w:trHeight w:val="90" w:hRule="atLeast"/>
        </w:trPr>
        <w:tc>
          <w:tcPr>
            <w:tcW w:w="3873" w:type="pct"/>
            <w:gridSpan w:val="3"/>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一、考勤设备</w:t>
            </w:r>
          </w:p>
        </w:tc>
        <w:tc>
          <w:tcPr>
            <w:tcW w:w="561"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p>
        </w:tc>
        <w:tc>
          <w:tcPr>
            <w:tcW w:w="565"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p>
        </w:tc>
      </w:tr>
      <w:tr>
        <w:trPr>
          <w:trHeight w:val="470" w:hRule="atLeast"/>
        </w:trPr>
        <w:tc>
          <w:tcPr>
            <w:tcW w:w="480"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1</w:t>
            </w:r>
          </w:p>
        </w:tc>
        <w:tc>
          <w:tcPr>
            <w:tcW w:w="807"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人脸识别考勤机</w:t>
            </w:r>
          </w:p>
        </w:tc>
        <w:tc>
          <w:tcPr>
            <w:tcW w:w="2584"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设备外观：≥7英寸触摸显示屏，≥200万像素双目摄像头，支持照片、视频防假；</w:t>
            </w:r>
          </w:p>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设备容量：≥支持10000张人脸库，1：N人脸比对时间≤0.2S/人，≥支持50000 张卡，≥150000条事件记录；</w:t>
            </w:r>
          </w:p>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认证方式：支持人脸、刷卡、密码的认证方式；可读取Mifare卡（IC卡）、CPU卡号/内容、身份证序列号；</w:t>
            </w:r>
          </w:p>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硬件接口：≥LAN*1、RS485*1、Wiegand * 1（支持双向）、typeC类型USB*1、门磁*1、电锁*1、报警输入*2、报警输出*1个、开门按钮*1、SD 卡槽*1（最大支持 512GB）、3.5mm音频输出接口*1；</w:t>
            </w:r>
          </w:p>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通讯方式：有线网络；</w:t>
            </w:r>
          </w:p>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工作电压： DC12V~24V/2A（电源需另配）</w:t>
            </w:r>
          </w:p>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使用环境：室内外环境（室外使用，必须需增加遮阳罩）</w:t>
            </w:r>
          </w:p>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含落地式安装支架，安装需要通过膨胀螺钉固定地面；材质：钣金喷漆；</w:t>
            </w:r>
          </w:p>
        </w:tc>
        <w:tc>
          <w:tcPr>
            <w:tcW w:w="561"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台</w:t>
            </w:r>
          </w:p>
        </w:tc>
        <w:tc>
          <w:tcPr>
            <w:tcW w:w="565"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3</w:t>
            </w:r>
          </w:p>
        </w:tc>
      </w:tr>
      <w:tr>
        <w:trPr>
          <w:trHeight w:val="90" w:hRule="atLeast"/>
        </w:trPr>
        <w:tc>
          <w:tcPr>
            <w:tcW w:w="480"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2</w:t>
            </w:r>
          </w:p>
        </w:tc>
        <w:tc>
          <w:tcPr>
            <w:tcW w:w="807"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供电电源</w:t>
            </w:r>
          </w:p>
        </w:tc>
        <w:tc>
          <w:tcPr>
            <w:tcW w:w="2584"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DC12V10A</w:t>
            </w:r>
          </w:p>
        </w:tc>
        <w:tc>
          <w:tcPr>
            <w:tcW w:w="561"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台</w:t>
            </w:r>
          </w:p>
        </w:tc>
        <w:tc>
          <w:tcPr>
            <w:tcW w:w="565"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3</w:t>
            </w:r>
          </w:p>
        </w:tc>
      </w:tr>
      <w:tr>
        <w:trPr>
          <w:trHeight w:val="90" w:hRule="atLeast"/>
        </w:trPr>
        <w:tc>
          <w:tcPr>
            <w:tcW w:w="3873" w:type="pct"/>
            <w:gridSpan w:val="3"/>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二、窗口效能监控设备</w:t>
            </w:r>
          </w:p>
        </w:tc>
        <w:tc>
          <w:tcPr>
            <w:tcW w:w="561"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p>
        </w:tc>
        <w:tc>
          <w:tcPr>
            <w:tcW w:w="565"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p>
        </w:tc>
      </w:tr>
      <w:tr>
        <w:trPr>
          <w:trHeight w:val="90" w:hRule="atLeast"/>
        </w:trPr>
        <w:tc>
          <w:tcPr>
            <w:tcW w:w="3873" w:type="pct"/>
            <w:gridSpan w:val="3"/>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2.1、前端窗口监控摄像机</w:t>
            </w:r>
          </w:p>
        </w:tc>
        <w:tc>
          <w:tcPr>
            <w:tcW w:w="561"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p>
        </w:tc>
        <w:tc>
          <w:tcPr>
            <w:tcW w:w="565"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p>
        </w:tc>
      </w:tr>
      <w:tr>
        <w:trPr>
          <w:trHeight w:val="202" w:hRule="atLeast"/>
        </w:trPr>
        <w:tc>
          <w:tcPr>
            <w:tcW w:w="480"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1</w:t>
            </w:r>
          </w:p>
        </w:tc>
        <w:tc>
          <w:tcPr>
            <w:tcW w:w="807"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高清网络半球摄像机</w:t>
            </w:r>
          </w:p>
        </w:tc>
        <w:tc>
          <w:tcPr>
            <w:tcW w:w="2584"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≥400万像素，分辨率：2560*1440，宽动态：120dB，镜头2.7-8mm，支持H.265视频编码标准，支持PoE供电，红外照射距离≥30米，防护等级：IP66；</w:t>
            </w:r>
          </w:p>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通讯接口：≥1个RJ45以太网口；</w:t>
            </w:r>
          </w:p>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音频接口：≥1输入，1输出；</w:t>
            </w:r>
          </w:p>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报警接口：≥1输入，1输出；</w:t>
            </w:r>
          </w:p>
        </w:tc>
        <w:tc>
          <w:tcPr>
            <w:tcW w:w="561"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台</w:t>
            </w:r>
          </w:p>
        </w:tc>
        <w:tc>
          <w:tcPr>
            <w:tcW w:w="565"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112</w:t>
            </w:r>
          </w:p>
        </w:tc>
      </w:tr>
      <w:tr>
        <w:trPr>
          <w:trHeight w:val="90" w:hRule="atLeast"/>
        </w:trPr>
        <w:tc>
          <w:tcPr>
            <w:tcW w:w="3873" w:type="pct"/>
            <w:gridSpan w:val="3"/>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2.2、后端存储设备</w:t>
            </w:r>
          </w:p>
        </w:tc>
        <w:tc>
          <w:tcPr>
            <w:tcW w:w="561"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p>
        </w:tc>
        <w:tc>
          <w:tcPr>
            <w:tcW w:w="565"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p>
        </w:tc>
      </w:tr>
      <w:tr>
        <w:trPr>
          <w:trHeight w:val="336" w:hRule="atLeast"/>
        </w:trPr>
        <w:tc>
          <w:tcPr>
            <w:tcW w:w="480"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1</w:t>
            </w:r>
          </w:p>
        </w:tc>
        <w:tc>
          <w:tcPr>
            <w:tcW w:w="807"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网络硬盘录像机</w:t>
            </w:r>
          </w:p>
        </w:tc>
        <w:tc>
          <w:tcPr>
            <w:tcW w:w="2584"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≥64路H.265、H.264混合接入</w:t>
            </w:r>
          </w:p>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输入带宽≥384Mbps</w:t>
            </w:r>
          </w:p>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≥2个HDMI，2个VGA，HDMI+VGA组内同源</w:t>
            </w:r>
          </w:p>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≥16盘位，单盘容量支持≥12T</w:t>
            </w:r>
          </w:p>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≥2个千兆网口</w:t>
            </w:r>
          </w:p>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≥2个USB2.0接口、2个USB3.0接口</w:t>
            </w:r>
          </w:p>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≥1个eSATA接口</w:t>
            </w:r>
          </w:p>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报警IO：16进4出</w:t>
            </w:r>
          </w:p>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最大支持≥24×1080P解码</w:t>
            </w:r>
          </w:p>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支持H.265、H.264解码</w:t>
            </w:r>
          </w:p>
        </w:tc>
        <w:tc>
          <w:tcPr>
            <w:tcW w:w="561"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台</w:t>
            </w:r>
          </w:p>
        </w:tc>
        <w:tc>
          <w:tcPr>
            <w:tcW w:w="565"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2</w:t>
            </w:r>
          </w:p>
        </w:tc>
      </w:tr>
      <w:tr>
        <w:trPr>
          <w:trHeight w:val="90" w:hRule="atLeast"/>
        </w:trPr>
        <w:tc>
          <w:tcPr>
            <w:tcW w:w="480"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2</w:t>
            </w:r>
          </w:p>
        </w:tc>
        <w:tc>
          <w:tcPr>
            <w:tcW w:w="807"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监控硬盘</w:t>
            </w:r>
          </w:p>
        </w:tc>
        <w:tc>
          <w:tcPr>
            <w:tcW w:w="2584"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8T监控级硬盘，转速≥5400RPM，3.5英寸，SATA接口</w:t>
            </w:r>
          </w:p>
        </w:tc>
        <w:tc>
          <w:tcPr>
            <w:tcW w:w="561"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块</w:t>
            </w:r>
          </w:p>
        </w:tc>
        <w:tc>
          <w:tcPr>
            <w:tcW w:w="565"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32</w:t>
            </w:r>
          </w:p>
        </w:tc>
      </w:tr>
      <w:tr>
        <w:trPr>
          <w:trHeight w:val="90" w:hRule="atLeast"/>
        </w:trPr>
        <w:tc>
          <w:tcPr>
            <w:tcW w:w="3873" w:type="pct"/>
            <w:gridSpan w:val="3"/>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三、物联网紧急报警系统</w:t>
            </w:r>
          </w:p>
        </w:tc>
        <w:tc>
          <w:tcPr>
            <w:tcW w:w="561"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p>
        </w:tc>
        <w:tc>
          <w:tcPr>
            <w:tcW w:w="565"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p>
        </w:tc>
      </w:tr>
      <w:tr>
        <w:trPr>
          <w:trHeight w:val="102" w:hRule="atLeast"/>
        </w:trPr>
        <w:tc>
          <w:tcPr>
            <w:tcW w:w="480"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1</w:t>
            </w:r>
          </w:p>
        </w:tc>
        <w:tc>
          <w:tcPr>
            <w:tcW w:w="807"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紧急报警按钮</w:t>
            </w:r>
          </w:p>
        </w:tc>
        <w:tc>
          <w:tcPr>
            <w:tcW w:w="2584"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无线频率：LORA；</w:t>
            </w:r>
          </w:p>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外壳材料ABS+PC；</w:t>
            </w:r>
          </w:p>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供电电压：1.5v；</w:t>
            </w:r>
          </w:p>
        </w:tc>
        <w:tc>
          <w:tcPr>
            <w:tcW w:w="561"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个</w:t>
            </w:r>
          </w:p>
        </w:tc>
        <w:tc>
          <w:tcPr>
            <w:tcW w:w="565"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20</w:t>
            </w:r>
          </w:p>
        </w:tc>
      </w:tr>
      <w:tr>
        <w:trPr>
          <w:trHeight w:val="102" w:hRule="atLeast"/>
        </w:trPr>
        <w:tc>
          <w:tcPr>
            <w:tcW w:w="480"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2</w:t>
            </w:r>
          </w:p>
        </w:tc>
        <w:tc>
          <w:tcPr>
            <w:tcW w:w="807"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紧急报警器</w:t>
            </w:r>
          </w:p>
        </w:tc>
        <w:tc>
          <w:tcPr>
            <w:tcW w:w="2584"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待机电流≤380mA；</w:t>
            </w:r>
          </w:p>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工作电流≤2A；</w:t>
            </w:r>
          </w:p>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支持WiFi、4G的无线通讯；</w:t>
            </w:r>
          </w:p>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支持Lora协议；</w:t>
            </w:r>
          </w:p>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报警响应时间≤5秒；</w:t>
            </w:r>
          </w:p>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工作温度：-15℃—+55℃；</w:t>
            </w:r>
          </w:p>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温度耐受90%≤RH</w:t>
            </w:r>
          </w:p>
        </w:tc>
        <w:tc>
          <w:tcPr>
            <w:tcW w:w="561"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台</w:t>
            </w:r>
          </w:p>
        </w:tc>
        <w:tc>
          <w:tcPr>
            <w:tcW w:w="565"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1</w:t>
            </w:r>
          </w:p>
        </w:tc>
      </w:tr>
      <w:tr>
        <w:trPr>
          <w:trHeight w:val="102" w:hRule="atLeast"/>
        </w:trPr>
        <w:tc>
          <w:tcPr>
            <w:tcW w:w="5000" w:type="pct"/>
            <w:gridSpan w:val="5"/>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四、网络设备</w:t>
            </w:r>
          </w:p>
        </w:tc>
      </w:tr>
      <w:tr>
        <w:trPr>
          <w:trHeight w:val="102" w:hRule="atLeast"/>
        </w:trPr>
        <w:tc>
          <w:tcPr>
            <w:tcW w:w="480"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1</w:t>
            </w:r>
          </w:p>
        </w:tc>
        <w:tc>
          <w:tcPr>
            <w:tcW w:w="807"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24口POE交换机</w:t>
            </w:r>
          </w:p>
        </w:tc>
        <w:tc>
          <w:tcPr>
            <w:tcW w:w="2584"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≥24个千兆POE电口，≥4个千兆SFP光口；交换容量≥336Gbps/3.36Tbps，包转发率≥51Mpps/126Mpps，整机最大输出PoE功率≥380W</w:t>
            </w:r>
          </w:p>
        </w:tc>
        <w:tc>
          <w:tcPr>
            <w:tcW w:w="561"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台</w:t>
            </w:r>
          </w:p>
        </w:tc>
        <w:tc>
          <w:tcPr>
            <w:tcW w:w="565"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8</w:t>
            </w:r>
          </w:p>
        </w:tc>
      </w:tr>
      <w:tr>
        <w:trPr>
          <w:trHeight w:val="90" w:hRule="atLeast"/>
        </w:trPr>
        <w:tc>
          <w:tcPr>
            <w:tcW w:w="3873" w:type="pct"/>
            <w:gridSpan w:val="3"/>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五、布线辅材</w:t>
            </w:r>
          </w:p>
        </w:tc>
        <w:tc>
          <w:tcPr>
            <w:tcW w:w="561"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p>
        </w:tc>
        <w:tc>
          <w:tcPr>
            <w:tcW w:w="565"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p>
        </w:tc>
      </w:tr>
      <w:tr>
        <w:trPr>
          <w:trHeight w:val="90" w:hRule="atLeast"/>
        </w:trPr>
        <w:tc>
          <w:tcPr>
            <w:tcW w:w="480"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1</w:t>
            </w:r>
          </w:p>
        </w:tc>
        <w:tc>
          <w:tcPr>
            <w:tcW w:w="807"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布线辅材</w:t>
            </w:r>
          </w:p>
        </w:tc>
        <w:tc>
          <w:tcPr>
            <w:tcW w:w="2584"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含以上设备的安装调试、布线辅材及后端网络交换设备费用</w:t>
            </w:r>
          </w:p>
        </w:tc>
        <w:tc>
          <w:tcPr>
            <w:tcW w:w="561"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项</w:t>
            </w:r>
          </w:p>
        </w:tc>
        <w:tc>
          <w:tcPr>
            <w:tcW w:w="565" w:type="pct"/>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rPr>
                <w:rFonts w:hint="eastAsia" w:ascii="宋体" w:hAnsi="宋体" w:eastAsia="宋体" w:cs="宋体"/>
                <w:bCs/>
                <w:kern w:val="0"/>
                <w:sz w:val="24"/>
                <w:szCs w:val="22"/>
                <w:lang w:val="zh-CN" w:eastAsia="zh-Hans"/>
                <w14:ligatures w14:val="none"/>
              </w:rPr>
            </w:pPr>
            <w:r>
              <w:rPr>
                <w:rFonts w:hint="eastAsia" w:ascii="宋体" w:hAnsi="宋体" w:eastAsia="宋体" w:cs="宋体"/>
                <w:bCs/>
                <w:kern w:val="0"/>
                <w:sz w:val="24"/>
                <w:szCs w:val="22"/>
                <w:lang w:val="zh-CN" w:eastAsia="zh-Hans"/>
                <w14:ligatures w14:val="none"/>
              </w:rPr>
              <w:t>1</w:t>
            </w:r>
          </w:p>
        </w:tc>
      </w:tr>
    </w:tbl>
    <w:p>
      <w:pPr>
        <w:rPr>
          <w:rFonts w:hint="eastAsia"/>
        </w:rPr>
      </w:pPr>
    </w:p>
    <w:p>
      <w:pPr>
        <w:rPr>
          <w:rFonts w:hint="eastAsia" w:ascii="仿宋" w:hAnsi="仿宋" w:eastAsia="仿宋" w:cs="仿宋"/>
          <w:sz w:val="24"/>
          <w:lang w:eastAsia="zh-CN"/>
        </w:rPr>
      </w:pPr>
    </w:p>
    <w:p>
      <w:pPr>
        <w:pStyle w:val="2"/>
        <w:tabs>
          <w:tab w:val="left" w:pos="4792"/>
        </w:tabs>
        <w:ind w:left="3348" w:right="0"/>
        <w:jc w:val="left"/>
        <w:rPr>
          <w:rFonts w:hint="eastAsia" w:ascii="仿宋" w:hAnsi="仿宋" w:eastAsia="仿宋" w:cs="仿宋"/>
        </w:rPr>
      </w:pPr>
      <w:bookmarkStart w:id="21" w:name="_Toc28259"/>
    </w:p>
    <w:p>
      <w:pPr>
        <w:pStyle w:val="2"/>
        <w:tabs>
          <w:tab w:val="left" w:pos="4792"/>
        </w:tabs>
        <w:ind w:left="3348" w:right="0"/>
        <w:jc w:val="left"/>
        <w:rPr>
          <w:rFonts w:hint="eastAsia" w:ascii="仿宋" w:hAnsi="仿宋" w:eastAsia="仿宋" w:cs="仿宋"/>
        </w:rPr>
      </w:pPr>
    </w:p>
    <w:p>
      <w:pPr>
        <w:pStyle w:val="2"/>
        <w:tabs>
          <w:tab w:val="left" w:pos="4792"/>
        </w:tabs>
        <w:ind w:left="3348" w:right="0"/>
        <w:jc w:val="left"/>
        <w:rPr>
          <w:rFonts w:hint="eastAsia" w:ascii="仿宋" w:hAnsi="仿宋" w:eastAsia="仿宋" w:cs="仿宋"/>
        </w:rPr>
      </w:pPr>
    </w:p>
    <w:p>
      <w:pPr>
        <w:pStyle w:val="2"/>
        <w:tabs>
          <w:tab w:val="left" w:pos="4792"/>
        </w:tabs>
        <w:ind w:left="3348" w:right="0"/>
        <w:jc w:val="left"/>
        <w:rPr>
          <w:rFonts w:hint="eastAsia" w:ascii="仿宋" w:hAnsi="仿宋" w:eastAsia="仿宋" w:cs="仿宋"/>
        </w:rPr>
      </w:pPr>
    </w:p>
    <w:p>
      <w:pPr>
        <w:pStyle w:val="2"/>
        <w:tabs>
          <w:tab w:val="left" w:pos="4792"/>
        </w:tabs>
        <w:ind w:left="3348" w:right="0"/>
        <w:jc w:val="left"/>
        <w:rPr>
          <w:rFonts w:hint="eastAsia" w:ascii="仿宋" w:hAnsi="仿宋" w:eastAsia="仿宋" w:cs="仿宋"/>
        </w:rPr>
      </w:pPr>
    </w:p>
    <w:p>
      <w:pPr>
        <w:pStyle w:val="2"/>
        <w:tabs>
          <w:tab w:val="left" w:pos="4792"/>
        </w:tabs>
        <w:ind w:left="3348" w:right="0"/>
        <w:jc w:val="left"/>
        <w:rPr>
          <w:rFonts w:hint="eastAsia" w:ascii="仿宋" w:hAnsi="仿宋" w:eastAsia="仿宋" w:cs="仿宋"/>
        </w:rPr>
      </w:pPr>
    </w:p>
    <w:p>
      <w:pPr>
        <w:pStyle w:val="2"/>
        <w:tabs>
          <w:tab w:val="left" w:pos="4792"/>
        </w:tabs>
        <w:ind w:left="3348" w:right="0"/>
        <w:jc w:val="left"/>
        <w:rPr>
          <w:rFonts w:hint="eastAsia" w:ascii="仿宋" w:hAnsi="仿宋" w:eastAsia="仿宋" w:cs="仿宋"/>
        </w:rPr>
      </w:pPr>
    </w:p>
    <w:p>
      <w:pPr>
        <w:pStyle w:val="2"/>
        <w:tabs>
          <w:tab w:val="left" w:pos="4792"/>
        </w:tabs>
        <w:ind w:left="3348" w:right="0"/>
        <w:jc w:val="left"/>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pStyle w:val="2"/>
        <w:tabs>
          <w:tab w:val="left" w:pos="4792"/>
        </w:tabs>
        <w:ind w:left="3348" w:right="0"/>
        <w:jc w:val="left"/>
        <w:rPr>
          <w:rFonts w:hint="eastAsia" w:ascii="仿宋" w:hAnsi="仿宋" w:eastAsia="仿宋" w:cs="仿宋"/>
        </w:rPr>
      </w:pPr>
    </w:p>
    <w:p>
      <w:pPr>
        <w:pStyle w:val="2"/>
        <w:tabs>
          <w:tab w:val="left" w:pos="4792"/>
        </w:tabs>
        <w:ind w:left="3348" w:right="0"/>
        <w:jc w:val="left"/>
        <w:rPr>
          <w:rFonts w:hint="eastAsia" w:ascii="仿宋" w:hAnsi="仿宋" w:eastAsia="仿宋" w:cs="仿宋"/>
        </w:rPr>
      </w:pPr>
    </w:p>
    <w:p>
      <w:pPr>
        <w:pStyle w:val="2"/>
        <w:tabs>
          <w:tab w:val="left" w:pos="4792"/>
        </w:tabs>
        <w:ind w:left="3348" w:right="0"/>
        <w:jc w:val="left"/>
        <w:rPr>
          <w:rFonts w:hint="eastAsia" w:ascii="仿宋" w:hAnsi="仿宋" w:eastAsia="仿宋" w:cs="仿宋"/>
        </w:rPr>
      </w:pPr>
      <w:r>
        <w:rPr>
          <w:rFonts w:hint="eastAsia" w:ascii="仿宋" w:hAnsi="仿宋" w:eastAsia="仿宋" w:cs="仿宋"/>
        </w:rPr>
        <w:t>第</w:t>
      </w:r>
      <w:r>
        <w:rPr>
          <w:rFonts w:hint="eastAsia" w:ascii="仿宋" w:hAnsi="仿宋" w:eastAsia="仿宋" w:cs="仿宋"/>
          <w:lang w:val="en-US" w:eastAsia="zh-CN"/>
        </w:rPr>
        <w:t>三</w:t>
      </w:r>
      <w:r>
        <w:rPr>
          <w:rFonts w:hint="eastAsia" w:ascii="仿宋" w:hAnsi="仿宋" w:eastAsia="仿宋" w:cs="仿宋"/>
        </w:rPr>
        <w:t>章</w:t>
      </w:r>
      <w:r>
        <w:rPr>
          <w:rFonts w:hint="eastAsia" w:ascii="仿宋" w:hAnsi="仿宋" w:eastAsia="仿宋" w:cs="仿宋"/>
        </w:rPr>
        <w:tab/>
      </w:r>
      <w:r>
        <w:rPr>
          <w:rFonts w:hint="eastAsia" w:ascii="仿宋" w:hAnsi="仿宋" w:eastAsia="仿宋" w:cs="仿宋"/>
        </w:rPr>
        <w:t>评审办法</w:t>
      </w:r>
      <w:bookmarkEnd w:id="21"/>
    </w:p>
    <w:p>
      <w:pPr>
        <w:pStyle w:val="4"/>
        <w:spacing w:before="7"/>
        <w:rPr>
          <w:rFonts w:hint="eastAsia" w:ascii="仿宋" w:hAnsi="仿宋" w:eastAsia="仿宋" w:cs="仿宋"/>
          <w:sz w:val="9"/>
        </w:rPr>
      </w:pPr>
      <w:bookmarkStart w:id="22" w:name="1._总则"/>
      <w:bookmarkEnd w:id="22"/>
    </w:p>
    <w:p>
      <w:pPr>
        <w:spacing w:line="360" w:lineRule="auto"/>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资格审查标准见下表：</w:t>
      </w:r>
    </w:p>
    <w:tbl>
      <w:tblPr>
        <w:tblStyle w:val="7"/>
        <w:tblW w:w="49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3731"/>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2" w:type="dxa"/>
            <w:vAlign w:val="center"/>
          </w:tcPr>
          <w:p>
            <w:pPr>
              <w:jc w:val="center"/>
              <w:rPr>
                <w:rFonts w:hint="eastAsia" w:ascii="仿宋" w:hAnsi="仿宋" w:eastAsia="仿宋" w:cs="仿宋"/>
                <w:b/>
                <w:bCs/>
                <w:sz w:val="24"/>
              </w:rPr>
            </w:pPr>
            <w:r>
              <w:rPr>
                <w:rFonts w:hint="eastAsia" w:ascii="仿宋" w:hAnsi="仿宋" w:eastAsia="仿宋" w:cs="仿宋"/>
                <w:b/>
                <w:bCs/>
                <w:sz w:val="24"/>
              </w:rPr>
              <w:t>序号</w:t>
            </w:r>
          </w:p>
        </w:tc>
        <w:tc>
          <w:tcPr>
            <w:tcW w:w="3732" w:type="dxa"/>
            <w:vAlign w:val="center"/>
          </w:tcPr>
          <w:p>
            <w:pPr>
              <w:jc w:val="center"/>
              <w:rPr>
                <w:rFonts w:hint="eastAsia" w:ascii="仿宋" w:hAnsi="仿宋" w:eastAsia="仿宋" w:cs="仿宋"/>
                <w:b/>
                <w:bCs/>
                <w:sz w:val="24"/>
              </w:rPr>
            </w:pPr>
            <w:r>
              <w:rPr>
                <w:rFonts w:hint="eastAsia" w:ascii="仿宋" w:hAnsi="仿宋" w:eastAsia="仿宋" w:cs="仿宋"/>
                <w:b/>
                <w:bCs/>
                <w:sz w:val="24"/>
              </w:rPr>
              <w:t>资格性审查项</w:t>
            </w:r>
          </w:p>
        </w:tc>
        <w:tc>
          <w:tcPr>
            <w:tcW w:w="6001" w:type="dxa"/>
            <w:vAlign w:val="center"/>
          </w:tcPr>
          <w:p>
            <w:pPr>
              <w:jc w:val="center"/>
              <w:rPr>
                <w:rFonts w:hint="eastAsia" w:ascii="仿宋" w:hAnsi="仿宋" w:eastAsia="仿宋" w:cs="仿宋"/>
                <w:b/>
                <w:bCs/>
                <w:sz w:val="24"/>
              </w:rPr>
            </w:pPr>
            <w:r>
              <w:rPr>
                <w:rFonts w:hint="eastAsia" w:ascii="仿宋" w:hAnsi="仿宋" w:eastAsia="仿宋" w:cs="仿宋"/>
                <w:b/>
                <w:bCs/>
                <w:sz w:val="24"/>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92" w:type="dxa"/>
            <w:vAlign w:val="center"/>
          </w:tcPr>
          <w:p>
            <w:pPr>
              <w:spacing w:line="360" w:lineRule="auto"/>
              <w:jc w:val="center"/>
              <w:rPr>
                <w:rFonts w:hint="eastAsia" w:ascii="仿宋" w:hAnsi="仿宋" w:eastAsia="仿宋" w:cs="仿宋"/>
                <w:bCs/>
                <w:sz w:val="24"/>
              </w:rPr>
            </w:pPr>
            <w:r>
              <w:rPr>
                <w:rFonts w:hint="eastAsia" w:ascii="仿宋" w:hAnsi="仿宋" w:eastAsia="仿宋" w:cs="仿宋"/>
                <w:sz w:val="24"/>
              </w:rPr>
              <w:t>1</w:t>
            </w:r>
          </w:p>
        </w:tc>
        <w:tc>
          <w:tcPr>
            <w:tcW w:w="3732" w:type="dxa"/>
            <w:vAlign w:val="center"/>
          </w:tcPr>
          <w:p>
            <w:pPr>
              <w:rPr>
                <w:rFonts w:hint="eastAsia" w:ascii="仿宋" w:hAnsi="仿宋" w:eastAsia="仿宋" w:cs="仿宋"/>
                <w:sz w:val="24"/>
              </w:rPr>
            </w:pPr>
            <w:r>
              <w:rPr>
                <w:rFonts w:hint="eastAsia" w:ascii="仿宋" w:hAnsi="仿宋" w:eastAsia="仿宋" w:cs="仿宋"/>
                <w:bCs/>
                <w:sz w:val="24"/>
              </w:rPr>
              <w:t>具有独立承担民事责任的能力</w:t>
            </w:r>
          </w:p>
        </w:tc>
        <w:tc>
          <w:tcPr>
            <w:tcW w:w="6001" w:type="dxa"/>
            <w:vAlign w:val="center"/>
          </w:tcPr>
          <w:p>
            <w:pPr>
              <w:rPr>
                <w:rFonts w:hint="eastAsia" w:ascii="仿宋" w:hAnsi="仿宋" w:eastAsia="仿宋" w:cs="仿宋"/>
                <w:sz w:val="24"/>
              </w:rPr>
            </w:pPr>
            <w:r>
              <w:rPr>
                <w:rFonts w:hint="eastAsia" w:ascii="仿宋" w:hAnsi="仿宋" w:eastAsia="仿宋" w:cs="仿宋"/>
                <w:bCs/>
                <w:sz w:val="24"/>
              </w:rPr>
              <w:t>提供投标人合法成立的营业执照或法人证书复印件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7" w:hRule="atLeast"/>
          <w:jc w:val="center"/>
        </w:trPr>
        <w:tc>
          <w:tcPr>
            <w:tcW w:w="692" w:type="dxa"/>
            <w:vAlign w:val="center"/>
          </w:tcPr>
          <w:p>
            <w:pPr>
              <w:spacing w:line="360" w:lineRule="auto"/>
              <w:jc w:val="center"/>
              <w:rPr>
                <w:rFonts w:hint="eastAsia" w:ascii="仿宋" w:hAnsi="仿宋" w:eastAsia="仿宋" w:cs="仿宋"/>
                <w:bCs/>
                <w:sz w:val="24"/>
              </w:rPr>
            </w:pPr>
            <w:r>
              <w:rPr>
                <w:rFonts w:hint="eastAsia" w:ascii="仿宋" w:hAnsi="仿宋" w:eastAsia="仿宋" w:cs="仿宋"/>
                <w:bCs/>
                <w:sz w:val="24"/>
              </w:rPr>
              <w:t>2</w:t>
            </w:r>
          </w:p>
        </w:tc>
        <w:tc>
          <w:tcPr>
            <w:tcW w:w="3732" w:type="dxa"/>
            <w:vAlign w:val="center"/>
          </w:tcPr>
          <w:p>
            <w:pPr>
              <w:rPr>
                <w:rFonts w:hint="eastAsia" w:ascii="仿宋" w:hAnsi="仿宋" w:eastAsia="仿宋" w:cs="仿宋"/>
                <w:sz w:val="24"/>
              </w:rPr>
            </w:pPr>
            <w:r>
              <w:rPr>
                <w:rFonts w:hint="eastAsia" w:ascii="仿宋" w:hAnsi="仿宋" w:eastAsia="仿宋" w:cs="仿宋"/>
                <w:sz w:val="24"/>
              </w:rPr>
              <w:t>具有良好的商业信誉和健全的财务会计制度</w:t>
            </w:r>
          </w:p>
        </w:tc>
        <w:tc>
          <w:tcPr>
            <w:tcW w:w="6001" w:type="dxa"/>
            <w:vAlign w:val="center"/>
          </w:tcPr>
          <w:p>
            <w:pPr>
              <w:numPr>
                <w:ilvl w:val="0"/>
                <w:numId w:val="2"/>
              </w:numPr>
              <w:rPr>
                <w:rFonts w:hint="eastAsia" w:ascii="仿宋" w:hAnsi="仿宋" w:eastAsia="仿宋" w:cs="仿宋"/>
                <w:sz w:val="24"/>
              </w:rPr>
            </w:pPr>
            <w:r>
              <w:rPr>
                <w:rFonts w:hint="eastAsia" w:ascii="仿宋" w:hAnsi="仿宋" w:eastAsia="仿宋" w:cs="仿宋"/>
                <w:sz w:val="24"/>
              </w:rPr>
              <w:t>具有良好的商业信誉：</w:t>
            </w:r>
            <w:r>
              <w:rPr>
                <w:rFonts w:hint="eastAsia" w:ascii="仿宋" w:hAnsi="仿宋" w:eastAsia="仿宋" w:cs="仿宋"/>
                <w:sz w:val="24"/>
                <w:lang w:val="en-US"/>
              </w:rPr>
              <w:t>由投标人提供承诺函。</w:t>
            </w:r>
          </w:p>
          <w:p>
            <w:pPr>
              <w:numPr>
                <w:ilvl w:val="0"/>
                <w:numId w:val="2"/>
              </w:numPr>
              <w:rPr>
                <w:rFonts w:hint="eastAsia" w:ascii="仿宋" w:hAnsi="仿宋" w:eastAsia="仿宋" w:cs="仿宋"/>
                <w:sz w:val="24"/>
              </w:rPr>
            </w:pPr>
            <w:r>
              <w:rPr>
                <w:rFonts w:hint="eastAsia" w:ascii="仿宋" w:hAnsi="仿宋" w:eastAsia="仿宋" w:cs="仿宋"/>
                <w:sz w:val="24"/>
              </w:rPr>
              <w:t>具有健全的财务会计制度：由投标人提供相关证明材料</w:t>
            </w:r>
            <w:r>
              <w:rPr>
                <w:rFonts w:hint="eastAsia" w:ascii="仿宋" w:hAnsi="仿宋" w:eastAsia="仿宋" w:cs="仿宋"/>
                <w:sz w:val="24"/>
                <w:lang w:val="en-US"/>
              </w:rPr>
              <w:t>或承诺函</w:t>
            </w:r>
            <w:r>
              <w:rPr>
                <w:rFonts w:hint="eastAsia" w:ascii="仿宋" w:hAnsi="仿宋" w:eastAsia="仿宋" w:cs="仿宋"/>
                <w:sz w:val="24"/>
              </w:rPr>
              <w:t>【注：证明材料</w:t>
            </w:r>
            <w:r>
              <w:rPr>
                <w:rFonts w:hint="eastAsia" w:ascii="仿宋" w:hAnsi="仿宋" w:eastAsia="仿宋" w:cs="仿宋"/>
                <w:sz w:val="24"/>
                <w:lang w:val="en-US"/>
              </w:rPr>
              <w:t>需</w:t>
            </w:r>
            <w:r>
              <w:rPr>
                <w:rFonts w:hint="eastAsia" w:ascii="仿宋" w:hAnsi="仿宋" w:eastAsia="仿宋" w:cs="仿宋"/>
                <w:sz w:val="24"/>
              </w:rPr>
              <w:t>提供202</w:t>
            </w:r>
            <w:r>
              <w:rPr>
                <w:rFonts w:hint="eastAsia" w:ascii="仿宋" w:hAnsi="仿宋" w:eastAsia="仿宋" w:cs="仿宋"/>
                <w:sz w:val="24"/>
                <w:lang w:val="en-US"/>
              </w:rPr>
              <w:t>3</w:t>
            </w:r>
            <w:r>
              <w:rPr>
                <w:rFonts w:hint="eastAsia" w:ascii="仿宋" w:hAnsi="仿宋" w:eastAsia="仿宋" w:cs="仿宋"/>
                <w:sz w:val="24"/>
              </w:rPr>
              <w:t>年度或20</w:t>
            </w:r>
            <w:r>
              <w:rPr>
                <w:rFonts w:hint="eastAsia" w:ascii="仿宋" w:hAnsi="仿宋" w:eastAsia="仿宋" w:cs="仿宋"/>
                <w:sz w:val="24"/>
                <w:lang w:val="en-US"/>
              </w:rPr>
              <w:t>24</w:t>
            </w:r>
            <w:r>
              <w:rPr>
                <w:rFonts w:hint="eastAsia" w:ascii="仿宋" w:hAnsi="仿宋" w:eastAsia="仿宋" w:cs="仿宋"/>
                <w:sz w:val="24"/>
              </w:rPr>
              <w:t>年度经审计财务审计报告，新成立企业，以各项资质证书取得的时间，按规定提交财务审计报告，公司成立不足一年的，提供近期财务报表】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692" w:type="dxa"/>
            <w:vAlign w:val="center"/>
          </w:tcPr>
          <w:p>
            <w:pPr>
              <w:spacing w:line="360" w:lineRule="auto"/>
              <w:jc w:val="center"/>
              <w:rPr>
                <w:rFonts w:hint="eastAsia" w:ascii="仿宋" w:hAnsi="仿宋" w:eastAsia="仿宋" w:cs="仿宋"/>
                <w:bCs/>
                <w:sz w:val="24"/>
              </w:rPr>
            </w:pPr>
            <w:r>
              <w:rPr>
                <w:rFonts w:hint="eastAsia" w:ascii="仿宋" w:hAnsi="仿宋" w:eastAsia="仿宋" w:cs="仿宋"/>
                <w:bCs/>
                <w:sz w:val="24"/>
              </w:rPr>
              <w:t>3</w:t>
            </w:r>
          </w:p>
        </w:tc>
        <w:tc>
          <w:tcPr>
            <w:tcW w:w="3732" w:type="dxa"/>
            <w:vAlign w:val="center"/>
          </w:tcPr>
          <w:p>
            <w:pPr>
              <w:rPr>
                <w:rFonts w:hint="eastAsia" w:ascii="仿宋" w:hAnsi="仿宋" w:eastAsia="仿宋" w:cs="仿宋"/>
                <w:bCs/>
                <w:sz w:val="24"/>
              </w:rPr>
            </w:pPr>
            <w:r>
              <w:rPr>
                <w:rFonts w:hint="eastAsia" w:ascii="仿宋" w:hAnsi="仿宋" w:eastAsia="仿宋" w:cs="仿宋"/>
                <w:bCs/>
                <w:sz w:val="24"/>
              </w:rPr>
              <w:t>具有履行合同所必需的设备和专业技术能力</w:t>
            </w:r>
          </w:p>
        </w:tc>
        <w:tc>
          <w:tcPr>
            <w:tcW w:w="6001" w:type="dxa"/>
            <w:vAlign w:val="center"/>
          </w:tcPr>
          <w:p>
            <w:pPr>
              <w:rPr>
                <w:rFonts w:hint="eastAsia" w:ascii="仿宋" w:hAnsi="仿宋" w:eastAsia="仿宋" w:cs="仿宋"/>
                <w:sz w:val="24"/>
              </w:rPr>
            </w:pPr>
            <w:r>
              <w:rPr>
                <w:rFonts w:hint="eastAsia" w:ascii="仿宋" w:hAnsi="仿宋" w:eastAsia="仿宋" w:cs="仿宋"/>
                <w:bCs/>
                <w:sz w:val="24"/>
              </w:rPr>
              <w:t>提供投标人可充分满足履行合同所需设备和专业技术能力的证明材料或承诺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92" w:type="dxa"/>
            <w:vAlign w:val="center"/>
          </w:tcPr>
          <w:p>
            <w:pPr>
              <w:spacing w:line="360" w:lineRule="auto"/>
              <w:jc w:val="center"/>
              <w:rPr>
                <w:rFonts w:hint="eastAsia" w:ascii="仿宋" w:hAnsi="仿宋" w:eastAsia="仿宋" w:cs="仿宋"/>
                <w:bCs/>
                <w:sz w:val="24"/>
              </w:rPr>
            </w:pPr>
            <w:r>
              <w:rPr>
                <w:rFonts w:hint="eastAsia" w:ascii="仿宋" w:hAnsi="仿宋" w:eastAsia="仿宋" w:cs="仿宋"/>
                <w:bCs/>
                <w:sz w:val="24"/>
              </w:rPr>
              <w:t>4</w:t>
            </w:r>
          </w:p>
        </w:tc>
        <w:tc>
          <w:tcPr>
            <w:tcW w:w="3732" w:type="dxa"/>
            <w:vAlign w:val="center"/>
          </w:tcPr>
          <w:p>
            <w:pPr>
              <w:rPr>
                <w:rFonts w:hint="eastAsia" w:ascii="仿宋" w:hAnsi="仿宋" w:eastAsia="仿宋" w:cs="仿宋"/>
                <w:sz w:val="24"/>
              </w:rPr>
            </w:pPr>
            <w:r>
              <w:rPr>
                <w:rFonts w:hint="eastAsia" w:ascii="仿宋" w:hAnsi="仿宋" w:eastAsia="仿宋" w:cs="仿宋"/>
                <w:bCs/>
                <w:sz w:val="24"/>
              </w:rPr>
              <w:t>有依法缴纳税收和社会保障资金的良好记录</w:t>
            </w:r>
          </w:p>
        </w:tc>
        <w:tc>
          <w:tcPr>
            <w:tcW w:w="6001" w:type="dxa"/>
            <w:vAlign w:val="center"/>
          </w:tcPr>
          <w:p>
            <w:pPr>
              <w:rPr>
                <w:rFonts w:hint="eastAsia" w:ascii="仿宋" w:hAnsi="仿宋" w:eastAsia="仿宋" w:cs="仿宋"/>
                <w:sz w:val="24"/>
              </w:rPr>
            </w:pPr>
            <w:r>
              <w:rPr>
                <w:rFonts w:hint="eastAsia" w:ascii="仿宋" w:hAnsi="仿宋" w:eastAsia="仿宋" w:cs="仿宋"/>
                <w:bCs/>
                <w:sz w:val="24"/>
              </w:rPr>
              <w:t>提供投标人</w:t>
            </w:r>
            <w:r>
              <w:rPr>
                <w:rFonts w:hint="eastAsia" w:ascii="仿宋" w:hAnsi="仿宋" w:eastAsia="仿宋" w:cs="仿宋"/>
                <w:bCs/>
                <w:sz w:val="24"/>
                <w:lang w:val="en-US"/>
              </w:rPr>
              <w:t>近一年内任意一个月</w:t>
            </w:r>
            <w:r>
              <w:rPr>
                <w:rFonts w:hint="eastAsia" w:ascii="仿宋" w:hAnsi="仿宋" w:eastAsia="仿宋" w:cs="仿宋"/>
                <w:bCs/>
                <w:sz w:val="24"/>
              </w:rPr>
              <w:t>依法缴纳税收记录和社会保障资金缴纳记录证明材料</w:t>
            </w:r>
            <w:r>
              <w:rPr>
                <w:rFonts w:hint="eastAsia" w:ascii="仿宋" w:hAnsi="仿宋" w:eastAsia="仿宋" w:cs="仿宋"/>
                <w:bCs/>
                <w:sz w:val="24"/>
                <w:lang w:val="en-US"/>
              </w:rPr>
              <w:t>或承诺函</w:t>
            </w:r>
            <w:r>
              <w:rPr>
                <w:rFonts w:hint="eastAsia" w:ascii="仿宋" w:hAnsi="仿宋" w:eastAsia="仿宋" w:cs="仿宋"/>
                <w:bCs/>
                <w:sz w:val="24"/>
              </w:rPr>
              <w:t>，复印件并加盖投标单位公章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692"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5</w:t>
            </w:r>
          </w:p>
        </w:tc>
        <w:tc>
          <w:tcPr>
            <w:tcW w:w="3732" w:type="dxa"/>
            <w:vAlign w:val="center"/>
          </w:tcPr>
          <w:p>
            <w:pPr>
              <w:rPr>
                <w:rFonts w:hint="eastAsia" w:ascii="仿宋" w:hAnsi="仿宋" w:eastAsia="仿宋" w:cs="仿宋"/>
                <w:sz w:val="24"/>
              </w:rPr>
            </w:pPr>
            <w:r>
              <w:rPr>
                <w:rFonts w:hint="eastAsia" w:ascii="仿宋" w:hAnsi="仿宋" w:eastAsia="仿宋" w:cs="仿宋"/>
                <w:bCs/>
                <w:sz w:val="24"/>
              </w:rPr>
              <w:t>参加政府采购活动前三年内，在经营活动中没有重大违法记录</w:t>
            </w:r>
          </w:p>
        </w:tc>
        <w:tc>
          <w:tcPr>
            <w:tcW w:w="6001" w:type="dxa"/>
            <w:vAlign w:val="center"/>
          </w:tcPr>
          <w:p>
            <w:pPr>
              <w:rPr>
                <w:rFonts w:hint="eastAsia" w:ascii="仿宋" w:hAnsi="仿宋" w:eastAsia="仿宋" w:cs="仿宋"/>
                <w:sz w:val="24"/>
              </w:rPr>
            </w:pPr>
            <w:r>
              <w:rPr>
                <w:rFonts w:hint="eastAsia" w:ascii="仿宋" w:hAnsi="仿宋" w:eastAsia="仿宋" w:cs="仿宋"/>
                <w:sz w:val="24"/>
              </w:rPr>
              <w:t>投标人参加政府采购活动前三年内，在经营活动中没有重大违法记录的书面声明材料（</w:t>
            </w:r>
            <w:r>
              <w:rPr>
                <w:rFonts w:hint="eastAsia" w:ascii="仿宋" w:hAnsi="仿宋" w:eastAsia="仿宋" w:cs="仿宋"/>
                <w:sz w:val="24"/>
                <w:lang w:val="en-US"/>
              </w:rPr>
              <w:t>提供承诺函</w:t>
            </w:r>
            <w:r>
              <w:rPr>
                <w:rFonts w:hint="eastAsia" w:ascii="仿宋" w:hAnsi="仿宋" w:eastAsia="仿宋" w:cs="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92"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lang w:val="en-US"/>
              </w:rPr>
              <w:t>6</w:t>
            </w:r>
          </w:p>
        </w:tc>
        <w:tc>
          <w:tcPr>
            <w:tcW w:w="3732" w:type="dxa"/>
            <w:vAlign w:val="center"/>
          </w:tcPr>
          <w:p>
            <w:pPr>
              <w:rPr>
                <w:rFonts w:hint="eastAsia" w:ascii="仿宋" w:hAnsi="仿宋" w:eastAsia="仿宋" w:cs="仿宋"/>
                <w:bCs/>
                <w:sz w:val="24"/>
              </w:rPr>
            </w:pPr>
            <w:r>
              <w:rPr>
                <w:rFonts w:hint="eastAsia" w:ascii="仿宋" w:hAnsi="仿宋" w:eastAsia="仿宋" w:cs="仿宋"/>
                <w:bCs/>
                <w:sz w:val="24"/>
              </w:rPr>
              <w:t>未被“信用中国”网站（</w:t>
            </w:r>
            <w:r>
              <w:fldChar w:fldCharType="begin"/>
            </w:r>
            <w:r>
              <w:instrText xml:space="preserve"> HYPERLINK "http://www.creditchina.gov.cn）中列入失信被执行人和/" </w:instrText>
            </w:r>
            <w:r>
              <w:fldChar w:fldCharType="separate"/>
            </w:r>
            <w:r>
              <w:rPr>
                <w:rFonts w:hint="eastAsia" w:ascii="仿宋" w:hAnsi="仿宋" w:eastAsia="仿宋" w:cs="仿宋"/>
                <w:bCs/>
                <w:sz w:val="24"/>
              </w:rPr>
              <w:t>www.creditchina.gov.cn）中列入失信被执行人</w:t>
            </w:r>
            <w:r>
              <w:rPr>
                <w:rFonts w:hint="eastAsia" w:ascii="仿宋" w:hAnsi="仿宋" w:eastAsia="仿宋" w:cs="仿宋"/>
                <w:bCs/>
                <w:sz w:val="24"/>
              </w:rPr>
              <w:fldChar w:fldCharType="end"/>
            </w:r>
            <w:r>
              <w:rPr>
                <w:rFonts w:hint="eastAsia" w:ascii="仿宋" w:hAnsi="仿宋" w:eastAsia="仿宋" w:cs="仿宋"/>
                <w:bCs/>
                <w:sz w:val="24"/>
              </w:rPr>
              <w:t>或重大税收违法案件当事人名单的供应商、未被中国采购与招标网（www.ccgp.gov.cn）列入政府采购严重违法失信行为记录名单</w:t>
            </w:r>
          </w:p>
        </w:tc>
        <w:tc>
          <w:tcPr>
            <w:tcW w:w="6001" w:type="dxa"/>
            <w:vAlign w:val="center"/>
          </w:tcPr>
          <w:p>
            <w:pPr>
              <w:rPr>
                <w:rFonts w:hint="eastAsia" w:ascii="仿宋" w:hAnsi="仿宋" w:eastAsia="仿宋" w:cs="仿宋"/>
                <w:bCs/>
                <w:sz w:val="24"/>
              </w:rPr>
            </w:pPr>
            <w:r>
              <w:rPr>
                <w:rFonts w:hint="eastAsia" w:ascii="仿宋" w:hAnsi="仿宋" w:eastAsia="仿宋" w:cs="仿宋"/>
                <w:bCs/>
                <w:sz w:val="24"/>
              </w:rPr>
              <w:t>投标人在信用中国网站、中国采购与招标网查询</w:t>
            </w:r>
            <w:r>
              <w:rPr>
                <w:rFonts w:hint="eastAsia" w:ascii="仿宋" w:hAnsi="仿宋" w:eastAsia="仿宋" w:cs="仿宋"/>
                <w:bCs/>
                <w:sz w:val="24"/>
                <w:lang w:val="en-US"/>
              </w:rPr>
              <w:t>无不良</w:t>
            </w:r>
            <w:r>
              <w:rPr>
                <w:rFonts w:hint="eastAsia" w:ascii="仿宋" w:hAnsi="仿宋" w:eastAsia="仿宋" w:cs="仿宋"/>
                <w:bCs/>
                <w:sz w:val="24"/>
              </w:rPr>
              <w:t>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92" w:type="dxa"/>
            <w:vAlign w:val="center"/>
          </w:tcPr>
          <w:p>
            <w:pPr>
              <w:spacing w:line="360" w:lineRule="auto"/>
              <w:jc w:val="center"/>
              <w:rPr>
                <w:rFonts w:hint="eastAsia" w:ascii="仿宋" w:hAnsi="仿宋" w:eastAsia="仿宋" w:cs="仿宋"/>
                <w:sz w:val="24"/>
                <w:lang w:val="en-US"/>
              </w:rPr>
            </w:pPr>
            <w:r>
              <w:rPr>
                <w:rFonts w:hint="eastAsia" w:ascii="仿宋" w:hAnsi="仿宋" w:eastAsia="仿宋" w:cs="仿宋"/>
                <w:sz w:val="24"/>
                <w:lang w:val="en-US"/>
              </w:rPr>
              <w:t>7</w:t>
            </w:r>
          </w:p>
        </w:tc>
        <w:tc>
          <w:tcPr>
            <w:tcW w:w="3732" w:type="dxa"/>
            <w:vAlign w:val="center"/>
          </w:tcPr>
          <w:p>
            <w:pPr>
              <w:rPr>
                <w:rFonts w:hint="eastAsia" w:ascii="仿宋" w:hAnsi="仿宋" w:eastAsia="仿宋" w:cs="仿宋"/>
                <w:bCs/>
                <w:sz w:val="24"/>
              </w:rPr>
            </w:pPr>
            <w:r>
              <w:rPr>
                <w:rFonts w:hint="eastAsia" w:ascii="仿宋" w:hAnsi="仿宋" w:eastAsia="仿宋" w:cs="仿宋"/>
                <w:bCs/>
                <w:sz w:val="24"/>
              </w:rPr>
              <w:t>本项目的资格要求</w:t>
            </w:r>
          </w:p>
        </w:tc>
        <w:tc>
          <w:tcPr>
            <w:tcW w:w="6001" w:type="dxa"/>
            <w:vAlign w:val="center"/>
          </w:tcPr>
          <w:p>
            <w:pPr>
              <w:rPr>
                <w:rFonts w:hint="eastAsia" w:ascii="仿宋" w:hAnsi="仿宋" w:eastAsia="仿宋" w:cs="仿宋"/>
                <w:bCs/>
                <w:sz w:val="24"/>
              </w:rPr>
            </w:pPr>
            <w:r>
              <w:rPr>
                <w:rFonts w:hint="eastAsia" w:ascii="仿宋" w:hAnsi="仿宋" w:eastAsia="仿宋" w:cs="仿宋"/>
                <w:bCs/>
                <w:sz w:val="24"/>
                <w:lang w:val="en-US"/>
              </w:rPr>
              <w:t>投标单位须具备</w:t>
            </w:r>
            <w:r>
              <w:rPr>
                <w:rFonts w:hint="eastAsia" w:ascii="仿宋" w:hAnsi="仿宋" w:eastAsia="仿宋" w:cs="仿宋"/>
                <w:bCs/>
                <w:sz w:val="24"/>
                <w:highlight w:val="none"/>
              </w:rPr>
              <w:t>通信工程监理乙</w:t>
            </w:r>
            <w:r>
              <w:rPr>
                <w:rFonts w:hint="eastAsia" w:ascii="仿宋" w:hAnsi="仿宋" w:eastAsia="仿宋" w:cs="仿宋"/>
                <w:bCs/>
                <w:sz w:val="24"/>
              </w:rPr>
              <w:t>级及以上资质。</w:t>
            </w:r>
          </w:p>
        </w:tc>
      </w:tr>
    </w:tbl>
    <w:p>
      <w:pPr>
        <w:rPr>
          <w:rFonts w:hint="eastAsia" w:ascii="仿宋" w:hAnsi="仿宋" w:eastAsia="仿宋" w:cs="仿宋"/>
          <w:sz w:val="25"/>
        </w:rPr>
      </w:pPr>
      <w:r>
        <w:rPr>
          <w:rFonts w:hint="eastAsia" w:ascii="仿宋" w:hAnsi="仿宋" w:eastAsia="仿宋" w:cs="仿宋"/>
          <w:sz w:val="25"/>
        </w:rPr>
        <w:br w:type="page"/>
      </w:r>
    </w:p>
    <w:p>
      <w:pPr>
        <w:rPr>
          <w:rFonts w:hint="eastAsia" w:ascii="仿宋" w:hAnsi="仿宋" w:eastAsia="仿宋" w:cs="仿宋"/>
        </w:rPr>
      </w:pPr>
    </w:p>
    <w:p>
      <w:pPr>
        <w:tabs>
          <w:tab w:val="left" w:pos="851"/>
        </w:tabs>
        <w:spacing w:line="360" w:lineRule="auto"/>
        <w:ind w:right="420" w:firstLine="600" w:firstLineChars="250"/>
        <w:rPr>
          <w:rFonts w:hint="eastAsia" w:ascii="仿宋" w:hAnsi="仿宋" w:eastAsia="仿宋" w:cs="仿宋"/>
          <w:sz w:val="24"/>
        </w:rPr>
      </w:pPr>
      <w:r>
        <w:rPr>
          <w:rFonts w:hint="eastAsia" w:ascii="仿宋" w:hAnsi="仿宋" w:eastAsia="仿宋" w:cs="仿宋"/>
          <w:sz w:val="24"/>
        </w:rPr>
        <w:t>符合性审查标准见下表：</w:t>
      </w:r>
    </w:p>
    <w:tbl>
      <w:tblPr>
        <w:tblStyle w:val="7"/>
        <w:tblW w:w="52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717"/>
        <w:gridCol w:w="6638"/>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Align w:val="center"/>
          </w:tcPr>
          <w:p>
            <w:pPr>
              <w:widowControl/>
              <w:rPr>
                <w:rFonts w:hint="eastAsia" w:ascii="仿宋" w:hAnsi="仿宋" w:eastAsia="仿宋" w:cs="仿宋"/>
                <w:b/>
                <w:bCs/>
                <w:sz w:val="24"/>
              </w:rPr>
            </w:pPr>
            <w:r>
              <w:rPr>
                <w:rFonts w:hint="eastAsia" w:ascii="仿宋" w:hAnsi="仿宋" w:eastAsia="仿宋" w:cs="仿宋"/>
                <w:b/>
                <w:bCs/>
                <w:sz w:val="24"/>
              </w:rPr>
              <w:t>序号</w:t>
            </w:r>
          </w:p>
        </w:tc>
        <w:tc>
          <w:tcPr>
            <w:tcW w:w="2717" w:type="dxa"/>
            <w:vAlign w:val="center"/>
          </w:tcPr>
          <w:p>
            <w:pPr>
              <w:rPr>
                <w:rFonts w:hint="eastAsia" w:ascii="仿宋" w:hAnsi="仿宋" w:eastAsia="仿宋" w:cs="仿宋"/>
                <w:b/>
                <w:bCs/>
                <w:sz w:val="24"/>
              </w:rPr>
            </w:pPr>
            <w:r>
              <w:rPr>
                <w:rFonts w:hint="eastAsia" w:ascii="仿宋" w:hAnsi="仿宋" w:eastAsia="仿宋" w:cs="仿宋"/>
                <w:b/>
                <w:bCs/>
                <w:sz w:val="24"/>
              </w:rPr>
              <w:t>符合性审查项</w:t>
            </w:r>
          </w:p>
        </w:tc>
        <w:tc>
          <w:tcPr>
            <w:tcW w:w="6646" w:type="dxa"/>
            <w:vAlign w:val="center"/>
          </w:tcPr>
          <w:p>
            <w:pPr>
              <w:widowControl/>
              <w:rPr>
                <w:rFonts w:hint="eastAsia" w:ascii="仿宋" w:hAnsi="仿宋" w:eastAsia="仿宋" w:cs="仿宋"/>
                <w:b/>
                <w:bCs/>
                <w:sz w:val="24"/>
              </w:rPr>
            </w:pPr>
            <w:r>
              <w:rPr>
                <w:rFonts w:hint="eastAsia" w:ascii="仿宋" w:hAnsi="仿宋" w:eastAsia="仿宋" w:cs="仿宋"/>
                <w:b/>
                <w:bCs/>
                <w:sz w:val="24"/>
              </w:rPr>
              <w:t>通过条件</w:t>
            </w:r>
          </w:p>
        </w:tc>
        <w:tc>
          <w:tcPr>
            <w:tcW w:w="965" w:type="dxa"/>
            <w:vAlign w:val="center"/>
          </w:tcPr>
          <w:p>
            <w:pPr>
              <w:widowControl/>
              <w:rPr>
                <w:rFonts w:hint="eastAsia" w:ascii="仿宋" w:hAnsi="仿宋" w:eastAsia="仿宋" w:cs="仿宋"/>
                <w:b/>
                <w:bCs/>
                <w:sz w:val="24"/>
              </w:rPr>
            </w:pPr>
            <w:r>
              <w:rPr>
                <w:rFonts w:hint="eastAsia" w:ascii="仿宋" w:hAnsi="仿宋" w:eastAsia="仿宋" w:cs="仿宋"/>
                <w:b/>
                <w:bCs/>
                <w:sz w:val="24"/>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91" w:type="dxa"/>
            <w:vAlign w:val="center"/>
          </w:tcPr>
          <w:p>
            <w:pPr>
              <w:rPr>
                <w:rFonts w:hint="eastAsia" w:ascii="仿宋" w:hAnsi="仿宋" w:eastAsia="仿宋" w:cs="仿宋"/>
                <w:b/>
                <w:bCs/>
                <w:sz w:val="24"/>
              </w:rPr>
            </w:pPr>
            <w:r>
              <w:rPr>
                <w:rFonts w:hint="eastAsia" w:ascii="仿宋" w:hAnsi="仿宋" w:eastAsia="仿宋" w:cs="仿宋"/>
                <w:sz w:val="24"/>
              </w:rPr>
              <w:t>1</w:t>
            </w:r>
          </w:p>
        </w:tc>
        <w:tc>
          <w:tcPr>
            <w:tcW w:w="2717" w:type="dxa"/>
            <w:vAlign w:val="center"/>
          </w:tcPr>
          <w:p>
            <w:pPr>
              <w:rPr>
                <w:rFonts w:hint="eastAsia" w:ascii="仿宋" w:hAnsi="仿宋" w:eastAsia="仿宋" w:cs="仿宋"/>
                <w:sz w:val="24"/>
              </w:rPr>
            </w:pPr>
            <w:r>
              <w:rPr>
                <w:rFonts w:hint="eastAsia" w:ascii="仿宋" w:hAnsi="仿宋" w:eastAsia="仿宋" w:cs="仿宋"/>
                <w:sz w:val="24"/>
                <w:lang w:val="en-US"/>
              </w:rPr>
              <w:t>供应商</w:t>
            </w:r>
            <w:r>
              <w:rPr>
                <w:rFonts w:hint="eastAsia" w:ascii="仿宋" w:hAnsi="仿宋" w:eastAsia="仿宋" w:cs="仿宋"/>
                <w:sz w:val="24"/>
              </w:rPr>
              <w:t>名称</w:t>
            </w:r>
          </w:p>
        </w:tc>
        <w:tc>
          <w:tcPr>
            <w:tcW w:w="6646" w:type="dxa"/>
            <w:vAlign w:val="center"/>
          </w:tcPr>
          <w:p>
            <w:pPr>
              <w:widowControl/>
              <w:rPr>
                <w:rFonts w:hint="eastAsia" w:ascii="仿宋" w:hAnsi="仿宋" w:eastAsia="仿宋" w:cs="仿宋"/>
                <w:sz w:val="24"/>
              </w:rPr>
            </w:pPr>
            <w:r>
              <w:rPr>
                <w:rFonts w:hint="eastAsia" w:ascii="仿宋" w:hAnsi="仿宋" w:eastAsia="仿宋" w:cs="仿宋"/>
                <w:sz w:val="24"/>
              </w:rPr>
              <w:t>与营业执照或法人证书一致</w:t>
            </w:r>
          </w:p>
        </w:tc>
        <w:tc>
          <w:tcPr>
            <w:tcW w:w="965" w:type="dxa"/>
            <w:vAlign w:val="center"/>
          </w:tcPr>
          <w:p>
            <w:pPr>
              <w:widowControl/>
              <w:rPr>
                <w:rFonts w:hint="eastAsia"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91" w:type="dxa"/>
            <w:vAlign w:val="center"/>
          </w:tcPr>
          <w:p>
            <w:pPr>
              <w:rPr>
                <w:rFonts w:hint="eastAsia" w:ascii="仿宋" w:hAnsi="仿宋" w:eastAsia="仿宋" w:cs="仿宋"/>
                <w:sz w:val="24"/>
              </w:rPr>
            </w:pPr>
            <w:r>
              <w:rPr>
                <w:rFonts w:hint="eastAsia" w:ascii="仿宋" w:hAnsi="仿宋" w:eastAsia="仿宋" w:cs="仿宋"/>
                <w:sz w:val="24"/>
                <w:lang w:val="en-US"/>
              </w:rPr>
              <w:t>2</w:t>
            </w:r>
          </w:p>
        </w:tc>
        <w:tc>
          <w:tcPr>
            <w:tcW w:w="2717" w:type="dxa"/>
            <w:vAlign w:val="center"/>
          </w:tcPr>
          <w:p>
            <w:pPr>
              <w:pStyle w:val="10"/>
              <w:ind w:left="62" w:right="52"/>
              <w:rPr>
                <w:rFonts w:hint="eastAsia" w:ascii="仿宋" w:hAnsi="仿宋" w:eastAsia="仿宋" w:cs="仿宋"/>
                <w:bCs/>
                <w:sz w:val="24"/>
                <w:lang w:val="en-US"/>
              </w:rPr>
            </w:pPr>
            <w:r>
              <w:rPr>
                <w:rFonts w:hint="eastAsia" w:ascii="仿宋" w:hAnsi="仿宋" w:eastAsia="仿宋" w:cs="仿宋"/>
                <w:bCs/>
                <w:sz w:val="24"/>
                <w:lang w:val="en-US"/>
              </w:rPr>
              <w:t>合同履行期限</w:t>
            </w:r>
          </w:p>
        </w:tc>
        <w:tc>
          <w:tcPr>
            <w:tcW w:w="6646" w:type="dxa"/>
            <w:vAlign w:val="center"/>
          </w:tcPr>
          <w:p>
            <w:pPr>
              <w:pStyle w:val="10"/>
              <w:rPr>
                <w:rFonts w:hint="eastAsia" w:ascii="仿宋" w:hAnsi="仿宋" w:eastAsia="仿宋" w:cs="仿宋"/>
                <w:bCs/>
                <w:sz w:val="24"/>
                <w:lang w:val="en-US"/>
              </w:rPr>
            </w:pPr>
            <w:r>
              <w:rPr>
                <w:rFonts w:hint="eastAsia" w:ascii="仿宋" w:hAnsi="仿宋" w:eastAsia="仿宋" w:cs="仿宋"/>
                <w:bCs/>
                <w:sz w:val="24"/>
                <w:lang w:val="en-US"/>
              </w:rPr>
              <w:t>是否符合</w:t>
            </w:r>
            <w:r>
              <w:rPr>
                <w:rFonts w:hint="eastAsia" w:ascii="仿宋" w:hAnsi="仿宋" w:eastAsia="仿宋" w:cs="仿宋"/>
                <w:bCs/>
                <w:sz w:val="24"/>
                <w:lang w:val="en-US" w:eastAsia="zh-CN"/>
              </w:rPr>
              <w:t>招标</w:t>
            </w:r>
            <w:r>
              <w:rPr>
                <w:rFonts w:hint="eastAsia" w:ascii="仿宋" w:hAnsi="仿宋" w:eastAsia="仿宋" w:cs="仿宋"/>
                <w:bCs/>
                <w:sz w:val="24"/>
                <w:lang w:val="en-US"/>
              </w:rPr>
              <w:t>文件要求</w:t>
            </w:r>
          </w:p>
        </w:tc>
        <w:tc>
          <w:tcPr>
            <w:tcW w:w="965" w:type="dxa"/>
            <w:vAlign w:val="center"/>
          </w:tcPr>
          <w:p>
            <w:pPr>
              <w:widowControl/>
              <w:rPr>
                <w:rFonts w:hint="eastAsia" w:ascii="仿宋" w:hAnsi="仿宋" w:eastAsia="仿宋" w:cs="仿宋"/>
                <w:b/>
                <w:bCs/>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91" w:type="dxa"/>
            <w:vAlign w:val="center"/>
          </w:tcPr>
          <w:p>
            <w:pPr>
              <w:rPr>
                <w:rFonts w:hint="eastAsia" w:ascii="仿宋" w:hAnsi="仿宋" w:eastAsia="仿宋" w:cs="仿宋"/>
                <w:sz w:val="24"/>
              </w:rPr>
            </w:pPr>
            <w:r>
              <w:rPr>
                <w:rFonts w:hint="eastAsia" w:ascii="仿宋" w:hAnsi="仿宋" w:eastAsia="仿宋" w:cs="仿宋"/>
                <w:sz w:val="24"/>
                <w:lang w:val="en-US"/>
              </w:rPr>
              <w:t>3</w:t>
            </w:r>
          </w:p>
        </w:tc>
        <w:tc>
          <w:tcPr>
            <w:tcW w:w="2717" w:type="dxa"/>
            <w:vAlign w:val="center"/>
          </w:tcPr>
          <w:p>
            <w:pPr>
              <w:pStyle w:val="10"/>
              <w:ind w:left="63" w:right="50"/>
              <w:rPr>
                <w:rFonts w:hint="eastAsia" w:ascii="仿宋" w:hAnsi="仿宋" w:eastAsia="仿宋" w:cs="仿宋"/>
                <w:bCs/>
                <w:sz w:val="24"/>
              </w:rPr>
            </w:pPr>
            <w:r>
              <w:rPr>
                <w:rFonts w:hint="eastAsia" w:ascii="仿宋" w:hAnsi="仿宋" w:eastAsia="仿宋" w:cs="仿宋"/>
                <w:bCs/>
                <w:sz w:val="24"/>
                <w:lang w:val="en-US" w:eastAsia="zh-CN"/>
              </w:rPr>
              <w:t>招标</w:t>
            </w:r>
            <w:r>
              <w:rPr>
                <w:rFonts w:hint="eastAsia" w:ascii="仿宋" w:hAnsi="仿宋" w:eastAsia="仿宋" w:cs="仿宋"/>
                <w:bCs/>
                <w:sz w:val="24"/>
              </w:rPr>
              <w:t>有效期</w:t>
            </w:r>
          </w:p>
        </w:tc>
        <w:tc>
          <w:tcPr>
            <w:tcW w:w="6646" w:type="dxa"/>
            <w:vAlign w:val="center"/>
          </w:tcPr>
          <w:p>
            <w:pPr>
              <w:pStyle w:val="10"/>
              <w:ind w:left="8" w:hanging="8"/>
              <w:rPr>
                <w:rFonts w:hint="eastAsia" w:ascii="仿宋" w:hAnsi="仿宋" w:eastAsia="仿宋" w:cs="仿宋"/>
                <w:bCs/>
                <w:sz w:val="24"/>
              </w:rPr>
            </w:pPr>
            <w:r>
              <w:rPr>
                <w:rFonts w:hint="eastAsia" w:ascii="仿宋" w:hAnsi="仿宋" w:eastAsia="仿宋" w:cs="仿宋"/>
                <w:bCs/>
                <w:sz w:val="24"/>
                <w:lang w:val="en-US"/>
              </w:rPr>
              <w:t>60日历天</w:t>
            </w:r>
          </w:p>
        </w:tc>
        <w:tc>
          <w:tcPr>
            <w:tcW w:w="965" w:type="dxa"/>
            <w:vAlign w:val="center"/>
          </w:tcPr>
          <w:p>
            <w:pPr>
              <w:widowControl/>
              <w:rPr>
                <w:rFonts w:hint="eastAsia"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91" w:type="dxa"/>
            <w:vAlign w:val="center"/>
          </w:tcPr>
          <w:p>
            <w:pPr>
              <w:rPr>
                <w:rFonts w:hint="eastAsia" w:ascii="仿宋" w:hAnsi="仿宋" w:eastAsia="仿宋" w:cs="仿宋"/>
                <w:sz w:val="24"/>
              </w:rPr>
            </w:pPr>
            <w:r>
              <w:rPr>
                <w:rFonts w:hint="eastAsia" w:ascii="仿宋" w:hAnsi="仿宋" w:eastAsia="仿宋" w:cs="仿宋"/>
                <w:sz w:val="24"/>
                <w:lang w:val="en-US"/>
              </w:rPr>
              <w:t>4</w:t>
            </w:r>
          </w:p>
        </w:tc>
        <w:tc>
          <w:tcPr>
            <w:tcW w:w="2717" w:type="dxa"/>
            <w:vAlign w:val="center"/>
          </w:tcPr>
          <w:p>
            <w:pPr>
              <w:rPr>
                <w:rFonts w:hint="eastAsia" w:ascii="仿宋" w:hAnsi="仿宋" w:eastAsia="仿宋" w:cs="仿宋"/>
                <w:sz w:val="24"/>
              </w:rPr>
            </w:pPr>
            <w:r>
              <w:rPr>
                <w:rFonts w:hint="eastAsia" w:ascii="仿宋" w:hAnsi="仿宋" w:eastAsia="仿宋" w:cs="仿宋"/>
                <w:sz w:val="24"/>
                <w:lang w:val="en-US"/>
              </w:rPr>
              <w:t>响应</w:t>
            </w:r>
            <w:r>
              <w:rPr>
                <w:rFonts w:hint="eastAsia" w:ascii="仿宋" w:hAnsi="仿宋" w:eastAsia="仿宋" w:cs="仿宋"/>
                <w:sz w:val="24"/>
              </w:rPr>
              <w:t>文件印制、签署</w:t>
            </w:r>
          </w:p>
        </w:tc>
        <w:tc>
          <w:tcPr>
            <w:tcW w:w="6646" w:type="dxa"/>
            <w:vAlign w:val="center"/>
          </w:tcPr>
          <w:p>
            <w:pPr>
              <w:rPr>
                <w:rFonts w:hint="eastAsia" w:ascii="仿宋" w:hAnsi="仿宋" w:eastAsia="仿宋" w:cs="仿宋"/>
                <w:sz w:val="24"/>
              </w:rPr>
            </w:pPr>
            <w:r>
              <w:rPr>
                <w:rFonts w:hint="eastAsia" w:ascii="仿宋" w:hAnsi="仿宋" w:eastAsia="仿宋" w:cs="仿宋"/>
                <w:sz w:val="24"/>
              </w:rPr>
              <w:t>符合</w:t>
            </w:r>
            <w:r>
              <w:rPr>
                <w:rFonts w:hint="eastAsia" w:ascii="仿宋" w:hAnsi="仿宋" w:eastAsia="仿宋" w:cs="仿宋"/>
                <w:sz w:val="24"/>
                <w:lang w:val="en-US" w:eastAsia="zh-CN"/>
              </w:rPr>
              <w:t>招标</w:t>
            </w:r>
            <w:r>
              <w:rPr>
                <w:rFonts w:hint="eastAsia" w:ascii="仿宋" w:hAnsi="仿宋" w:eastAsia="仿宋" w:cs="仿宋"/>
                <w:sz w:val="24"/>
                <w:lang w:val="en-US"/>
              </w:rPr>
              <w:t>文件</w:t>
            </w:r>
            <w:r>
              <w:rPr>
                <w:rFonts w:hint="eastAsia" w:ascii="仿宋" w:hAnsi="仿宋" w:eastAsia="仿宋" w:cs="仿宋"/>
                <w:sz w:val="24"/>
              </w:rPr>
              <w:t>的要求。</w:t>
            </w:r>
          </w:p>
        </w:tc>
        <w:tc>
          <w:tcPr>
            <w:tcW w:w="965" w:type="dxa"/>
            <w:vAlign w:val="center"/>
          </w:tcPr>
          <w:p>
            <w:pPr>
              <w:widowControl/>
              <w:rPr>
                <w:rFonts w:hint="eastAsia"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Align w:val="center"/>
          </w:tcPr>
          <w:p>
            <w:pPr>
              <w:rPr>
                <w:rFonts w:hint="eastAsia" w:ascii="仿宋" w:hAnsi="仿宋" w:eastAsia="仿宋" w:cs="仿宋"/>
                <w:sz w:val="24"/>
                <w:lang w:val="en-US"/>
              </w:rPr>
            </w:pPr>
            <w:r>
              <w:rPr>
                <w:rFonts w:hint="eastAsia" w:ascii="仿宋" w:hAnsi="仿宋" w:eastAsia="仿宋" w:cs="仿宋"/>
                <w:sz w:val="24"/>
                <w:lang w:val="en-US"/>
              </w:rPr>
              <w:t>5</w:t>
            </w:r>
          </w:p>
        </w:tc>
        <w:tc>
          <w:tcPr>
            <w:tcW w:w="2717" w:type="dxa"/>
            <w:vAlign w:val="center"/>
          </w:tcPr>
          <w:p>
            <w:pPr>
              <w:jc w:val="both"/>
              <w:rPr>
                <w:rFonts w:hint="eastAsia" w:ascii="仿宋" w:hAnsi="仿宋" w:eastAsia="仿宋" w:cs="仿宋"/>
                <w:sz w:val="24"/>
              </w:rPr>
            </w:pPr>
            <w:r>
              <w:rPr>
                <w:rFonts w:hint="eastAsia" w:ascii="仿宋" w:hAnsi="仿宋" w:eastAsia="仿宋" w:cs="仿宋"/>
                <w:sz w:val="24"/>
                <w:szCs w:val="24"/>
                <w:lang w:val="en-US" w:eastAsia="zh-CN"/>
              </w:rPr>
              <w:t>招标</w:t>
            </w:r>
            <w:r>
              <w:rPr>
                <w:rFonts w:hint="eastAsia" w:ascii="仿宋" w:hAnsi="仿宋" w:eastAsia="仿宋" w:cs="仿宋"/>
                <w:sz w:val="24"/>
                <w:szCs w:val="24"/>
                <w:lang w:val="en-US"/>
              </w:rPr>
              <w:t>文件</w:t>
            </w:r>
            <w:r>
              <w:rPr>
                <w:rFonts w:hint="eastAsia" w:ascii="仿宋" w:hAnsi="仿宋" w:eastAsia="仿宋" w:cs="仿宋"/>
                <w:sz w:val="24"/>
                <w:szCs w:val="24"/>
              </w:rPr>
              <w:t>规定的其他实质性要求</w:t>
            </w:r>
          </w:p>
        </w:tc>
        <w:tc>
          <w:tcPr>
            <w:tcW w:w="6646" w:type="dxa"/>
            <w:vAlign w:val="center"/>
          </w:tcPr>
          <w:p>
            <w:pPr>
              <w:pStyle w:val="11"/>
              <w:tabs>
                <w:tab w:val="left" w:pos="743"/>
              </w:tabs>
              <w:ind w:left="34" w:firstLine="0" w:firstLineChars="0"/>
              <w:jc w:val="both"/>
              <w:rPr>
                <w:rFonts w:hint="eastAsia" w:ascii="仿宋" w:hAnsi="仿宋" w:eastAsia="仿宋" w:cs="仿宋"/>
                <w:sz w:val="24"/>
              </w:rPr>
            </w:pPr>
            <w:r>
              <w:rPr>
                <w:rFonts w:hint="eastAsia" w:ascii="仿宋" w:hAnsi="仿宋" w:eastAsia="仿宋" w:cs="仿宋"/>
                <w:sz w:val="24"/>
                <w:szCs w:val="24"/>
              </w:rPr>
              <w:t>符合</w:t>
            </w:r>
            <w:r>
              <w:rPr>
                <w:rFonts w:hint="eastAsia" w:ascii="仿宋" w:hAnsi="仿宋" w:eastAsia="仿宋" w:cs="仿宋"/>
                <w:sz w:val="24"/>
                <w:szCs w:val="24"/>
                <w:lang w:val="en-US" w:eastAsia="zh-CN"/>
              </w:rPr>
              <w:t>招标</w:t>
            </w:r>
            <w:r>
              <w:rPr>
                <w:rFonts w:hint="eastAsia" w:ascii="仿宋" w:hAnsi="仿宋" w:eastAsia="仿宋" w:cs="仿宋"/>
                <w:sz w:val="24"/>
                <w:szCs w:val="24"/>
                <w:lang w:val="en-US"/>
              </w:rPr>
              <w:t>文件</w:t>
            </w:r>
            <w:r>
              <w:rPr>
                <w:rFonts w:hint="eastAsia" w:ascii="仿宋" w:hAnsi="仿宋" w:eastAsia="仿宋" w:cs="仿宋"/>
                <w:sz w:val="24"/>
                <w:szCs w:val="24"/>
              </w:rPr>
              <w:t>规定的其他实质性要求。</w:t>
            </w:r>
          </w:p>
        </w:tc>
        <w:tc>
          <w:tcPr>
            <w:tcW w:w="965" w:type="dxa"/>
            <w:vAlign w:val="center"/>
          </w:tcPr>
          <w:p>
            <w:pPr>
              <w:widowControl/>
              <w:rPr>
                <w:rFonts w:hint="eastAsia" w:ascii="仿宋" w:hAnsi="仿宋" w:eastAsia="仿宋" w:cs="仿宋"/>
                <w:b/>
                <w:bCs/>
                <w:sz w:val="24"/>
              </w:rPr>
            </w:pPr>
          </w:p>
        </w:tc>
      </w:tr>
    </w:tbl>
    <w:p>
      <w:pPr>
        <w:rPr>
          <w:rFonts w:hint="eastAsia" w:ascii="仿宋" w:hAnsi="仿宋" w:eastAsia="仿宋" w:cs="仿宋"/>
        </w:rPr>
      </w:pPr>
    </w:p>
    <w:p>
      <w:pPr>
        <w:pStyle w:val="6"/>
        <w:ind w:firstLine="240"/>
        <w:rPr>
          <w:rFonts w:hint="eastAsia" w:ascii="仿宋" w:hAnsi="仿宋" w:eastAsia="仿宋" w:cs="仿宋"/>
        </w:rPr>
      </w:pPr>
      <w:r>
        <w:rPr>
          <w:rFonts w:hint="eastAsia" w:ascii="仿宋" w:hAnsi="仿宋" w:eastAsia="仿宋" w:cs="仿宋"/>
        </w:rPr>
        <w:br w:type="page"/>
      </w:r>
    </w:p>
    <w:p>
      <w:pPr>
        <w:pStyle w:val="9"/>
        <w:numPr>
          <w:ilvl w:val="1"/>
          <w:numId w:val="0"/>
        </w:numPr>
        <w:jc w:val="center"/>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综合评分明细表</w:t>
      </w:r>
    </w:p>
    <w:tbl>
      <w:tblPr>
        <w:tblStyle w:val="7"/>
        <w:tblW w:w="0" w:type="auto"/>
        <w:tblInd w:w="93" w:type="dxa"/>
        <w:tblLayout w:type="fixed"/>
        <w:tblCellMar>
          <w:top w:w="0" w:type="dxa"/>
          <w:left w:w="108" w:type="dxa"/>
          <w:bottom w:w="0" w:type="dxa"/>
          <w:right w:w="108" w:type="dxa"/>
        </w:tblCellMar>
      </w:tblPr>
      <w:tblGrid>
        <w:gridCol w:w="1535"/>
        <w:gridCol w:w="843"/>
        <w:gridCol w:w="674"/>
        <w:gridCol w:w="7247"/>
      </w:tblGrid>
      <w:tr>
        <w:tblPrEx>
          <w:tblCellMar>
            <w:top w:w="0" w:type="dxa"/>
            <w:left w:w="108" w:type="dxa"/>
            <w:bottom w:w="0" w:type="dxa"/>
            <w:right w:w="108" w:type="dxa"/>
          </w:tblCellMar>
        </w:tblPrEx>
        <w:trPr>
          <w:trHeight w:val="616" w:hRule="atLeast"/>
        </w:trPr>
        <w:tc>
          <w:tcPr>
            <w:tcW w:w="305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
                <w:bCs/>
                <w:sz w:val="24"/>
                <w:szCs w:val="24"/>
              </w:rPr>
            </w:pPr>
            <w:r>
              <w:rPr>
                <w:rFonts w:hint="eastAsia" w:ascii="仿宋" w:hAnsi="仿宋" w:eastAsia="仿宋" w:cs="仿宋"/>
                <w:b/>
                <w:bCs/>
                <w:sz w:val="24"/>
                <w:szCs w:val="24"/>
              </w:rPr>
              <w:t>条款内容</w:t>
            </w:r>
          </w:p>
        </w:tc>
        <w:tc>
          <w:tcPr>
            <w:tcW w:w="7247"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
                <w:bCs/>
                <w:sz w:val="24"/>
                <w:szCs w:val="24"/>
              </w:rPr>
            </w:pPr>
            <w:r>
              <w:rPr>
                <w:rFonts w:hint="eastAsia" w:ascii="仿宋" w:hAnsi="仿宋" w:eastAsia="仿宋" w:cs="仿宋"/>
                <w:b/>
                <w:bCs/>
                <w:sz w:val="24"/>
                <w:szCs w:val="24"/>
              </w:rPr>
              <w:t>编列内容</w:t>
            </w:r>
          </w:p>
        </w:tc>
      </w:tr>
      <w:tr>
        <w:tblPrEx>
          <w:tblCellMar>
            <w:top w:w="0" w:type="dxa"/>
            <w:left w:w="108" w:type="dxa"/>
            <w:bottom w:w="0" w:type="dxa"/>
            <w:right w:w="108" w:type="dxa"/>
          </w:tblCellMar>
        </w:tblPrEx>
        <w:trPr>
          <w:trHeight w:val="910" w:hRule="atLeast"/>
        </w:trPr>
        <w:tc>
          <w:tcPr>
            <w:tcW w:w="305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分值组成（总分100分）</w:t>
            </w:r>
          </w:p>
        </w:tc>
        <w:tc>
          <w:tcPr>
            <w:tcW w:w="7247" w:type="dxa"/>
            <w:tcBorders>
              <w:top w:val="single" w:color="auto" w:sz="4" w:space="0"/>
              <w:left w:val="nil"/>
              <w:bottom w:val="single" w:color="auto" w:sz="4" w:space="0"/>
              <w:right w:val="single" w:color="auto" w:sz="4" w:space="0"/>
            </w:tcBorders>
            <w:vAlign w:val="center"/>
          </w:tcPr>
          <w:p>
            <w:pPr>
              <w:widowControl/>
              <w:rPr>
                <w:rFonts w:hint="eastAsia" w:ascii="仿宋" w:hAnsi="仿宋" w:eastAsia="仿宋" w:cs="仿宋"/>
                <w:sz w:val="24"/>
                <w:szCs w:val="24"/>
                <w:highlight w:val="none"/>
              </w:rPr>
            </w:pPr>
            <w:r>
              <w:rPr>
                <w:rFonts w:hint="eastAsia" w:ascii="仿宋" w:hAnsi="仿宋" w:eastAsia="仿宋" w:cs="仿宋"/>
                <w:sz w:val="24"/>
                <w:szCs w:val="24"/>
                <w:highlight w:val="none"/>
              </w:rPr>
              <w:t>商务部分：</w:t>
            </w:r>
            <w:r>
              <w:rPr>
                <w:rFonts w:hint="eastAsia" w:ascii="仿宋" w:hAnsi="仿宋" w:eastAsia="仿宋" w:cs="仿宋"/>
                <w:sz w:val="24"/>
                <w:szCs w:val="24"/>
                <w:highlight w:val="none"/>
                <w:u w:val="single"/>
                <w:lang w:val="en-US" w:eastAsia="zh-CN"/>
              </w:rPr>
              <w:t>20</w:t>
            </w:r>
            <w:r>
              <w:rPr>
                <w:rFonts w:hint="eastAsia" w:ascii="仿宋" w:hAnsi="仿宋" w:eastAsia="仿宋" w:cs="仿宋"/>
                <w:sz w:val="24"/>
                <w:szCs w:val="24"/>
                <w:highlight w:val="none"/>
              </w:rPr>
              <w:t>分</w:t>
            </w:r>
          </w:p>
          <w:p>
            <w:pPr>
              <w:widowControl/>
              <w:rPr>
                <w:rFonts w:hint="eastAsia" w:ascii="仿宋" w:hAnsi="仿宋" w:eastAsia="仿宋" w:cs="仿宋"/>
                <w:sz w:val="24"/>
                <w:szCs w:val="24"/>
                <w:highlight w:val="none"/>
              </w:rPr>
            </w:pPr>
            <w:r>
              <w:rPr>
                <w:rFonts w:hint="eastAsia" w:ascii="仿宋" w:hAnsi="仿宋" w:eastAsia="仿宋" w:cs="仿宋"/>
                <w:sz w:val="24"/>
                <w:szCs w:val="24"/>
                <w:highlight w:val="none"/>
              </w:rPr>
              <w:t>技术部分：</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u w:val="single"/>
                <w:lang w:val="en-US" w:eastAsia="zh-CN"/>
              </w:rPr>
              <w:t>0</w:t>
            </w:r>
            <w:r>
              <w:rPr>
                <w:rFonts w:hint="eastAsia" w:ascii="仿宋" w:hAnsi="仿宋" w:eastAsia="仿宋" w:cs="仿宋"/>
                <w:sz w:val="24"/>
                <w:szCs w:val="24"/>
                <w:highlight w:val="none"/>
              </w:rPr>
              <w:t>分</w:t>
            </w:r>
          </w:p>
          <w:p>
            <w:pPr>
              <w:widowControl/>
              <w:rPr>
                <w:rFonts w:hint="eastAsia" w:ascii="仿宋" w:hAnsi="仿宋" w:eastAsia="仿宋" w:cs="仿宋"/>
                <w:sz w:val="24"/>
                <w:szCs w:val="24"/>
                <w:highlight w:val="none"/>
              </w:rPr>
            </w:pPr>
            <w:r>
              <w:rPr>
                <w:rFonts w:hint="eastAsia" w:ascii="仿宋" w:hAnsi="仿宋" w:eastAsia="仿宋" w:cs="仿宋"/>
                <w:sz w:val="24"/>
                <w:szCs w:val="24"/>
                <w:highlight w:val="none"/>
              </w:rPr>
              <w:t>报价部分：</w:t>
            </w:r>
            <w:r>
              <w:rPr>
                <w:rFonts w:hint="eastAsia" w:ascii="仿宋" w:hAnsi="仿宋" w:eastAsia="仿宋" w:cs="仿宋"/>
                <w:sz w:val="24"/>
                <w:szCs w:val="24"/>
                <w:highlight w:val="none"/>
                <w:u w:val="single"/>
                <w:lang w:val="en-US" w:eastAsia="zh-CN"/>
              </w:rPr>
              <w:t>3</w:t>
            </w:r>
            <w:r>
              <w:rPr>
                <w:rFonts w:hint="eastAsia" w:ascii="仿宋" w:hAnsi="仿宋" w:eastAsia="仿宋" w:cs="仿宋"/>
                <w:sz w:val="24"/>
                <w:szCs w:val="24"/>
                <w:highlight w:val="none"/>
                <w:u w:val="single"/>
                <w:lang w:val="en-US"/>
              </w:rPr>
              <w:t>0</w:t>
            </w:r>
            <w:r>
              <w:rPr>
                <w:rFonts w:hint="eastAsia" w:ascii="仿宋" w:hAnsi="仿宋" w:eastAsia="仿宋" w:cs="仿宋"/>
                <w:sz w:val="24"/>
                <w:szCs w:val="24"/>
                <w:highlight w:val="none"/>
              </w:rPr>
              <w:t>分</w:t>
            </w:r>
          </w:p>
        </w:tc>
      </w:tr>
      <w:tr>
        <w:tblPrEx>
          <w:tblCellMar>
            <w:top w:w="0" w:type="dxa"/>
            <w:left w:w="108" w:type="dxa"/>
            <w:bottom w:w="0" w:type="dxa"/>
            <w:right w:w="108" w:type="dxa"/>
          </w:tblCellMar>
        </w:tblPrEx>
        <w:trPr>
          <w:trHeight w:val="616" w:hRule="atLeast"/>
        </w:trPr>
        <w:tc>
          <w:tcPr>
            <w:tcW w:w="15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
                <w:bCs/>
                <w:sz w:val="24"/>
                <w:szCs w:val="24"/>
              </w:rPr>
            </w:pPr>
            <w:r>
              <w:rPr>
                <w:rFonts w:hint="eastAsia" w:ascii="仿宋" w:hAnsi="仿宋" w:eastAsia="仿宋" w:cs="仿宋"/>
                <w:b/>
                <w:bCs/>
                <w:sz w:val="24"/>
                <w:szCs w:val="24"/>
              </w:rPr>
              <w:t>评审项目</w:t>
            </w:r>
          </w:p>
        </w:tc>
        <w:tc>
          <w:tcPr>
            <w:tcW w:w="843" w:type="dxa"/>
            <w:tcBorders>
              <w:top w:val="single" w:color="auto" w:sz="4" w:space="0"/>
              <w:left w:val="nil"/>
              <w:bottom w:val="single" w:color="auto" w:sz="4" w:space="0"/>
              <w:right w:val="nil"/>
            </w:tcBorders>
            <w:vAlign w:val="center"/>
          </w:tcPr>
          <w:p>
            <w:pPr>
              <w:widowControl/>
              <w:jc w:val="center"/>
              <w:rPr>
                <w:rFonts w:hint="eastAsia" w:ascii="仿宋" w:hAnsi="仿宋" w:eastAsia="仿宋" w:cs="仿宋"/>
                <w:b/>
                <w:bCs/>
                <w:sz w:val="24"/>
                <w:szCs w:val="24"/>
              </w:rPr>
            </w:pPr>
            <w:r>
              <w:rPr>
                <w:rFonts w:hint="eastAsia" w:ascii="仿宋" w:hAnsi="仿宋" w:eastAsia="仿宋" w:cs="仿宋"/>
                <w:b/>
                <w:bCs/>
                <w:sz w:val="24"/>
                <w:szCs w:val="24"/>
              </w:rPr>
              <w:t>评审内容</w:t>
            </w:r>
          </w:p>
        </w:tc>
        <w:tc>
          <w:tcPr>
            <w:tcW w:w="67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
                <w:bCs/>
                <w:sz w:val="24"/>
                <w:szCs w:val="24"/>
              </w:rPr>
            </w:pPr>
            <w:r>
              <w:rPr>
                <w:rFonts w:hint="eastAsia" w:ascii="仿宋" w:hAnsi="仿宋" w:eastAsia="仿宋" w:cs="仿宋"/>
                <w:b/>
                <w:bCs/>
                <w:sz w:val="24"/>
                <w:szCs w:val="24"/>
              </w:rPr>
              <w:t>分数</w:t>
            </w:r>
          </w:p>
        </w:tc>
        <w:tc>
          <w:tcPr>
            <w:tcW w:w="7247"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
                <w:bCs/>
                <w:sz w:val="24"/>
                <w:szCs w:val="24"/>
              </w:rPr>
            </w:pPr>
            <w:r>
              <w:rPr>
                <w:rFonts w:hint="eastAsia" w:ascii="仿宋" w:hAnsi="仿宋" w:eastAsia="仿宋" w:cs="仿宋"/>
                <w:b/>
                <w:bCs/>
                <w:sz w:val="24"/>
                <w:szCs w:val="24"/>
              </w:rPr>
              <w:t>评审依据</w:t>
            </w:r>
          </w:p>
        </w:tc>
      </w:tr>
      <w:tr>
        <w:tblPrEx>
          <w:tblCellMar>
            <w:top w:w="0" w:type="dxa"/>
            <w:left w:w="108" w:type="dxa"/>
            <w:bottom w:w="0" w:type="dxa"/>
            <w:right w:w="108" w:type="dxa"/>
          </w:tblCellMar>
        </w:tblPrEx>
        <w:trPr>
          <w:trHeight w:val="1256" w:hRule="atLeast"/>
        </w:trPr>
        <w:tc>
          <w:tcPr>
            <w:tcW w:w="1535" w:type="dxa"/>
            <w:vMerge w:val="restart"/>
            <w:tcBorders>
              <w:top w:val="nil"/>
              <w:left w:val="single" w:color="auto" w:sz="4" w:space="0"/>
              <w:right w:val="single" w:color="auto" w:sz="4" w:space="0"/>
            </w:tcBorders>
            <w:vAlign w:val="center"/>
          </w:tcPr>
          <w:p>
            <w:pPr>
              <w:widowControl/>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商务部分</w:t>
            </w:r>
          </w:p>
          <w:p>
            <w:pPr>
              <w:widowControl/>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20</w:t>
            </w:r>
            <w:r>
              <w:rPr>
                <w:rFonts w:hint="eastAsia" w:ascii="仿宋" w:hAnsi="仿宋" w:eastAsia="仿宋" w:cs="仿宋"/>
                <w:sz w:val="24"/>
                <w:szCs w:val="24"/>
                <w:highlight w:val="none"/>
              </w:rPr>
              <w:t>分）</w:t>
            </w:r>
          </w:p>
        </w:tc>
        <w:tc>
          <w:tcPr>
            <w:tcW w:w="843"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类似业绩</w:t>
            </w:r>
          </w:p>
        </w:tc>
        <w:tc>
          <w:tcPr>
            <w:tcW w:w="67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rPr>
              <w:t>1</w:t>
            </w:r>
            <w:r>
              <w:rPr>
                <w:rFonts w:hint="eastAsia" w:ascii="仿宋" w:hAnsi="仿宋" w:eastAsia="仿宋" w:cs="仿宋"/>
                <w:sz w:val="24"/>
                <w:szCs w:val="24"/>
                <w:highlight w:val="none"/>
                <w:lang w:val="en-US" w:eastAsia="zh-CN"/>
              </w:rPr>
              <w:t>0</w:t>
            </w:r>
          </w:p>
        </w:tc>
        <w:tc>
          <w:tcPr>
            <w:tcW w:w="7247" w:type="dxa"/>
            <w:tcBorders>
              <w:top w:val="nil"/>
              <w:left w:val="nil"/>
              <w:bottom w:val="single" w:color="auto" w:sz="4" w:space="0"/>
              <w:right w:val="single" w:color="auto" w:sz="4" w:space="0"/>
            </w:tcBorders>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近三年2022年1月1日至今具有</w:t>
            </w:r>
            <w:r>
              <w:rPr>
                <w:rFonts w:hint="eastAsia" w:ascii="仿宋" w:hAnsi="仿宋" w:eastAsia="仿宋" w:cs="仿宋"/>
                <w:sz w:val="24"/>
                <w:szCs w:val="24"/>
                <w:highlight w:val="none"/>
                <w:lang w:val="en-US"/>
              </w:rPr>
              <w:t>类似</w:t>
            </w:r>
            <w:r>
              <w:rPr>
                <w:rFonts w:hint="eastAsia" w:ascii="仿宋" w:hAnsi="仿宋" w:eastAsia="仿宋" w:cs="仿宋"/>
                <w:sz w:val="24"/>
                <w:szCs w:val="24"/>
                <w:highlight w:val="none"/>
              </w:rPr>
              <w:t>业绩，有一项得</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分，最多得1</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 xml:space="preserve">分。 </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（注: 评审时须提供业绩中标通知书或监理合同）。</w:t>
            </w:r>
          </w:p>
        </w:tc>
      </w:tr>
      <w:tr>
        <w:tblPrEx>
          <w:tblCellMar>
            <w:top w:w="0" w:type="dxa"/>
            <w:left w:w="108" w:type="dxa"/>
            <w:bottom w:w="0" w:type="dxa"/>
            <w:right w:w="108" w:type="dxa"/>
          </w:tblCellMar>
        </w:tblPrEx>
        <w:trPr>
          <w:trHeight w:val="1256" w:hRule="atLeast"/>
        </w:trPr>
        <w:tc>
          <w:tcPr>
            <w:tcW w:w="1535" w:type="dxa"/>
            <w:vMerge w:val="continue"/>
            <w:tcBorders>
              <w:left w:val="single" w:color="auto" w:sz="4" w:space="0"/>
              <w:right w:val="single" w:color="auto" w:sz="4" w:space="0"/>
            </w:tcBorders>
            <w:vAlign w:val="center"/>
          </w:tcPr>
          <w:p>
            <w:pPr>
              <w:widowControl/>
              <w:jc w:val="center"/>
              <w:rPr>
                <w:rFonts w:hint="eastAsia" w:ascii="仿宋" w:hAnsi="仿宋" w:eastAsia="仿宋" w:cs="仿宋"/>
                <w:sz w:val="24"/>
                <w:szCs w:val="24"/>
              </w:rPr>
            </w:pPr>
          </w:p>
        </w:tc>
        <w:tc>
          <w:tcPr>
            <w:tcW w:w="843"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24"/>
                <w:szCs w:val="24"/>
                <w:lang w:val="en-US"/>
              </w:rPr>
            </w:pPr>
            <w:r>
              <w:rPr>
                <w:rFonts w:hint="eastAsia" w:ascii="仿宋" w:hAnsi="仿宋" w:eastAsia="仿宋" w:cs="仿宋"/>
                <w:spacing w:val="8"/>
                <w:sz w:val="24"/>
                <w:szCs w:val="24"/>
              </w:rPr>
              <w:t>总监理工程师资格</w:t>
            </w:r>
          </w:p>
        </w:tc>
        <w:tc>
          <w:tcPr>
            <w:tcW w:w="67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24"/>
                <w:szCs w:val="24"/>
                <w:lang w:val="en-US"/>
              </w:rPr>
            </w:pPr>
            <w:r>
              <w:rPr>
                <w:rFonts w:hint="eastAsia" w:ascii="仿宋" w:hAnsi="仿宋" w:eastAsia="仿宋" w:cs="仿宋"/>
                <w:sz w:val="24"/>
                <w:szCs w:val="24"/>
                <w:lang w:val="en-US"/>
              </w:rPr>
              <w:t>8</w:t>
            </w:r>
          </w:p>
        </w:tc>
        <w:tc>
          <w:tcPr>
            <w:tcW w:w="7247" w:type="dxa"/>
            <w:tcBorders>
              <w:top w:val="nil"/>
              <w:left w:val="nil"/>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1，拟派总监理工程师具有全国注册监理工程师（通信工程专业）得2分。</w:t>
            </w:r>
          </w:p>
          <w:p>
            <w:pPr>
              <w:rPr>
                <w:rFonts w:hint="eastAsia" w:ascii="仿宋" w:hAnsi="仿宋" w:eastAsia="仿宋" w:cs="仿宋"/>
                <w:sz w:val="24"/>
                <w:szCs w:val="24"/>
              </w:rPr>
            </w:pPr>
            <w:r>
              <w:rPr>
                <w:rFonts w:hint="eastAsia" w:ascii="仿宋" w:hAnsi="仿宋" w:eastAsia="仿宋" w:cs="仿宋"/>
                <w:sz w:val="24"/>
                <w:szCs w:val="24"/>
              </w:rPr>
              <w:t>2，拟派总监理工程师具有“工程管理”或“工程监理”专业中级（或以上）职称得3分。（需附全国人力资源和社会保障政务服务平台查询截图）。</w:t>
            </w:r>
          </w:p>
          <w:p>
            <w:pPr>
              <w:rPr>
                <w:rFonts w:hint="eastAsia" w:ascii="仿宋" w:hAnsi="仿宋" w:eastAsia="仿宋" w:cs="仿宋"/>
                <w:sz w:val="24"/>
                <w:szCs w:val="24"/>
                <w:lang w:val="en-US"/>
              </w:rPr>
            </w:pPr>
            <w:r>
              <w:rPr>
                <w:rFonts w:hint="eastAsia" w:ascii="仿宋" w:hAnsi="仿宋" w:eastAsia="仿宋" w:cs="仿宋"/>
                <w:sz w:val="24"/>
                <w:szCs w:val="24"/>
              </w:rPr>
              <w:t>3，拟派总监理工程师2022年1月1日以后每具有一个通信工程相关业绩加1分，最多加3分。</w:t>
            </w:r>
          </w:p>
        </w:tc>
      </w:tr>
      <w:tr>
        <w:tblPrEx>
          <w:tblCellMar>
            <w:top w:w="0" w:type="dxa"/>
            <w:left w:w="108" w:type="dxa"/>
            <w:bottom w:w="0" w:type="dxa"/>
            <w:right w:w="108" w:type="dxa"/>
          </w:tblCellMar>
        </w:tblPrEx>
        <w:trPr>
          <w:trHeight w:val="1256" w:hRule="atLeast"/>
        </w:trPr>
        <w:tc>
          <w:tcPr>
            <w:tcW w:w="1535" w:type="dxa"/>
            <w:tcBorders>
              <w:left w:val="single" w:color="auto" w:sz="4" w:space="0"/>
              <w:right w:val="single" w:color="auto" w:sz="4" w:space="0"/>
            </w:tcBorders>
            <w:vAlign w:val="center"/>
          </w:tcPr>
          <w:p>
            <w:pPr>
              <w:widowControl/>
              <w:jc w:val="center"/>
              <w:rPr>
                <w:rFonts w:hint="eastAsia" w:ascii="仿宋" w:hAnsi="仿宋" w:eastAsia="仿宋" w:cs="仿宋"/>
                <w:sz w:val="24"/>
                <w:szCs w:val="24"/>
              </w:rPr>
            </w:pPr>
          </w:p>
        </w:tc>
        <w:tc>
          <w:tcPr>
            <w:tcW w:w="843"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pacing w:val="8"/>
                <w:sz w:val="24"/>
                <w:szCs w:val="24"/>
                <w:lang w:eastAsia="zh-CN"/>
              </w:rPr>
            </w:pPr>
            <w:r>
              <w:rPr>
                <w:rFonts w:hint="eastAsia" w:ascii="仿宋" w:hAnsi="仿宋" w:eastAsia="仿宋" w:cs="仿宋"/>
                <w:spacing w:val="8"/>
                <w:sz w:val="24"/>
                <w:szCs w:val="24"/>
                <w:lang w:eastAsia="zh-CN"/>
              </w:rPr>
              <w:t>监理员</w:t>
            </w:r>
          </w:p>
        </w:tc>
        <w:tc>
          <w:tcPr>
            <w:tcW w:w="67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7247" w:type="dxa"/>
            <w:tcBorders>
              <w:top w:val="nil"/>
              <w:left w:val="nil"/>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监理员:具备西藏自治区监理从业人员资格证书或者入藏备案的区外监理人员从业资格证书的得2分，满分2分。</w:t>
            </w:r>
          </w:p>
        </w:tc>
      </w:tr>
      <w:tr>
        <w:tblPrEx>
          <w:tblCellMar>
            <w:top w:w="0" w:type="dxa"/>
            <w:left w:w="108" w:type="dxa"/>
            <w:bottom w:w="0" w:type="dxa"/>
            <w:right w:w="108" w:type="dxa"/>
          </w:tblCellMar>
        </w:tblPrEx>
        <w:trPr>
          <w:trHeight w:val="2623" w:hRule="atLeast"/>
        </w:trPr>
        <w:tc>
          <w:tcPr>
            <w:tcW w:w="1535" w:type="dxa"/>
            <w:tcBorders>
              <w:top w:val="single" w:color="auto" w:sz="4" w:space="0"/>
              <w:left w:val="single" w:color="auto" w:sz="4" w:space="0"/>
              <w:right w:val="single" w:color="auto" w:sz="4" w:space="0"/>
            </w:tcBorders>
            <w:vAlign w:val="center"/>
          </w:tcPr>
          <w:p>
            <w:pPr>
              <w:widowControl/>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技术部分</w:t>
            </w:r>
          </w:p>
          <w:p>
            <w:pPr>
              <w:widowControl/>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val="en-US"/>
              </w:rPr>
              <w:t>0</w:t>
            </w:r>
            <w:r>
              <w:rPr>
                <w:rFonts w:hint="eastAsia" w:ascii="仿宋" w:hAnsi="仿宋" w:eastAsia="仿宋" w:cs="仿宋"/>
                <w:sz w:val="24"/>
                <w:szCs w:val="24"/>
                <w:highlight w:val="none"/>
                <w:lang w:val="en-US" w:eastAsia="zh-CN"/>
              </w:rPr>
              <w:t>分</w:t>
            </w:r>
            <w:r>
              <w:rPr>
                <w:rFonts w:hint="eastAsia" w:ascii="仿宋" w:hAnsi="仿宋" w:eastAsia="仿宋" w:cs="仿宋"/>
                <w:sz w:val="24"/>
                <w:szCs w:val="24"/>
                <w:highlight w:val="none"/>
              </w:rPr>
              <w:t>）</w:t>
            </w:r>
          </w:p>
        </w:tc>
        <w:tc>
          <w:tcPr>
            <w:tcW w:w="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整体方案</w:t>
            </w:r>
          </w:p>
        </w:tc>
        <w:tc>
          <w:tcPr>
            <w:tcW w:w="67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50</w:t>
            </w:r>
          </w:p>
        </w:tc>
        <w:tc>
          <w:tcPr>
            <w:tcW w:w="7247" w:type="dxa"/>
            <w:tcBorders>
              <w:top w:val="single" w:color="auto" w:sz="4" w:space="0"/>
              <w:left w:val="single" w:color="auto" w:sz="4" w:space="0"/>
              <w:bottom w:val="single" w:color="auto" w:sz="4" w:space="0"/>
              <w:right w:val="single" w:color="auto" w:sz="4" w:space="0"/>
            </w:tcBorders>
            <w:vAlign w:val="center"/>
          </w:tcPr>
          <w:p>
            <w:pPr>
              <w:jc w:val="both"/>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根据项目实际需求和特殊性制定完整、科学、符合项目需求的服务方案，包括但不限于：①监理范围、 ②监理服务、 ③监理质量控制措施、  ④监理服务的造价控制措施、⑤监理服务的进度控制措施、 ⑥监理服务的安全生产管理职责、⑦监理服务的工作制度和工作设施情况、⑧对本项目重点难点分析内容及应对方案、 ⑨组织协调措施、⑩投资控制等。以上内容每小项得5分，最高得50分。小项中每有3处不满足或不符合的扣1分，扣完为止。</w:t>
            </w:r>
          </w:p>
          <w:p>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不满足或不符合指：不符合项目的实际情况；与采购需求无关；内容前后不一致；方案内容逻辑矛盾、技术标准或规范引用错误、内容胡乱拼凑等。为方便专家评审，各潜在供应商在编制项目实施方案时，内容须清晰明了。</w:t>
            </w:r>
          </w:p>
        </w:tc>
      </w:tr>
      <w:tr>
        <w:tblPrEx>
          <w:tblCellMar>
            <w:top w:w="0" w:type="dxa"/>
            <w:left w:w="108" w:type="dxa"/>
            <w:bottom w:w="0" w:type="dxa"/>
            <w:right w:w="108" w:type="dxa"/>
          </w:tblCellMar>
        </w:tblPrEx>
        <w:trPr>
          <w:trHeight w:val="1304" w:hRule="atLeast"/>
        </w:trPr>
        <w:tc>
          <w:tcPr>
            <w:tcW w:w="2378"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价格部分（</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en-US"/>
              </w:rPr>
              <w:t>0</w:t>
            </w:r>
            <w:r>
              <w:rPr>
                <w:rFonts w:hint="eastAsia" w:ascii="仿宋" w:hAnsi="仿宋" w:eastAsia="仿宋" w:cs="仿宋"/>
                <w:sz w:val="24"/>
                <w:szCs w:val="24"/>
                <w:highlight w:val="none"/>
              </w:rPr>
              <w:t>分）</w:t>
            </w:r>
          </w:p>
        </w:tc>
        <w:tc>
          <w:tcPr>
            <w:tcW w:w="674" w:type="dxa"/>
            <w:tcBorders>
              <w:top w:val="nil"/>
              <w:left w:val="nil"/>
              <w:bottom w:val="single" w:color="auto" w:sz="4" w:space="0"/>
              <w:right w:val="single" w:color="auto" w:sz="4" w:space="0"/>
            </w:tcBorders>
            <w:vAlign w:val="center"/>
          </w:tcPr>
          <w:p>
            <w:pPr>
              <w:widowControl/>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en-US"/>
              </w:rPr>
              <w:t>0</w:t>
            </w:r>
          </w:p>
        </w:tc>
        <w:tc>
          <w:tcPr>
            <w:tcW w:w="7247" w:type="dxa"/>
            <w:tcBorders>
              <w:top w:val="nil"/>
              <w:left w:val="nil"/>
              <w:bottom w:val="single" w:color="auto" w:sz="4" w:space="0"/>
              <w:right w:val="single" w:color="auto" w:sz="4" w:space="0"/>
            </w:tcBorders>
            <w:vAlign w:val="center"/>
          </w:tcPr>
          <w:p>
            <w:pPr>
              <w:rPr>
                <w:rFonts w:hint="eastAsia" w:ascii="仿宋" w:hAnsi="仿宋" w:eastAsia="仿宋" w:cs="仿宋"/>
                <w:sz w:val="24"/>
                <w:szCs w:val="24"/>
                <w:highlight w:val="none"/>
                <w:lang w:val="en-US"/>
              </w:rPr>
            </w:pPr>
            <w:r>
              <w:rPr>
                <w:rFonts w:hint="eastAsia" w:ascii="仿宋" w:hAnsi="仿宋" w:eastAsia="仿宋" w:cs="仿宋"/>
                <w:i w:val="0"/>
                <w:iCs w:val="0"/>
                <w:color w:val="000000"/>
                <w:kern w:val="0"/>
                <w:sz w:val="24"/>
                <w:szCs w:val="24"/>
                <w:u w:val="none"/>
                <w:lang w:val="en-US" w:eastAsia="zh-CN" w:bidi="ar"/>
              </w:rPr>
              <w:t>（1）投标报价超过采购预算的，投标无效，未超过采购预算的投标报价按以下公式进行计算。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sz w:val="24"/>
                <w:szCs w:val="24"/>
                <w:highlight w:val="none"/>
                <w:lang w:val="en-US" w:eastAsia="zh-CN"/>
              </w:rPr>
              <w:t>（2）</w:t>
            </w:r>
            <w:r>
              <w:rPr>
                <w:rFonts w:hint="eastAsia" w:ascii="仿宋" w:hAnsi="仿宋" w:eastAsia="仿宋" w:cs="仿宋"/>
                <w:i w:val="0"/>
                <w:iCs w:val="0"/>
                <w:color w:val="000000"/>
                <w:kern w:val="0"/>
                <w:sz w:val="24"/>
                <w:szCs w:val="24"/>
                <w:u w:val="none"/>
                <w:lang w:val="en-US" w:eastAsia="zh-CN" w:bidi="ar"/>
              </w:rPr>
              <w:t>投标报价得分=（评标基准价/投标报价）*30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注：满足招标文件要求且投标报价最低的投标报价为评标基准价。</w:t>
            </w:r>
          </w:p>
          <w:p>
            <w:pPr>
              <w:rPr>
                <w:rFonts w:hint="eastAsia" w:ascii="仿宋" w:hAnsi="仿宋" w:eastAsia="仿宋" w:cs="仿宋"/>
                <w:sz w:val="24"/>
                <w:szCs w:val="24"/>
                <w:highlight w:val="none"/>
                <w:lang w:val="en-US"/>
              </w:rPr>
            </w:pPr>
          </w:p>
        </w:tc>
      </w:tr>
    </w:tbl>
    <w:p>
      <w:pPr>
        <w:spacing w:line="364" w:lineRule="auto"/>
        <w:rPr>
          <w:rFonts w:hint="eastAsia" w:ascii="仿宋" w:hAnsi="仿宋" w:eastAsia="仿宋" w:cs="仿宋"/>
        </w:rPr>
        <w:sectPr>
          <w:footerReference r:id="rId3" w:type="default"/>
          <w:pgSz w:w="11910" w:h="16840"/>
          <w:pgMar w:top="1080" w:right="621" w:bottom="1380" w:left="960" w:header="0" w:footer="1119" w:gutter="0"/>
          <w:pgBorders>
            <w:top w:val="none" w:sz="0" w:space="0"/>
            <w:left w:val="none" w:sz="0" w:space="0"/>
            <w:bottom w:val="none" w:sz="0" w:space="0"/>
            <w:right w:val="none" w:sz="0" w:space="0"/>
          </w:pgBorders>
          <w:pgNumType w:fmt="numberInDash"/>
          <w:cols w:space="720" w:num="1"/>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rFonts w:hint="eastAsia"/>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rPr>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NM7HhYsAgAAVwQAAA4AAAAAAAAAAQAgAAAANQEAAGRy&#10;cy9lMm9Eb2MueG1sUEsFBgAAAAAGAAYAWQEAANMFAAAAAA==&#10;">
              <v:fill on="f" focussize="0,0"/>
              <v:stroke on="f" weight="0.5pt"/>
              <v:imagedata o:title=""/>
              <o:lock v:ext="edit" aspectratio="f"/>
              <v:textbox inset="0mm,0mm,0mm,0mm" style="mso-fit-shape-to-text:t;">
                <w:txbxContent>
                  <w:p>
                    <w:pPr>
                      <w:pStyle w:val="5"/>
                      <w:rPr>
                        <w:rFonts w:hint="eastAsia"/>
                      </w:rPr>
                    </w:pPr>
                    <w:r>
                      <w:fldChar w:fldCharType="begin"/>
                    </w:r>
                    <w:r>
                      <w:instrText xml:space="preserve"> PAGE  \* MERGEFORMAT </w:instrText>
                    </w:r>
                    <w:r>
                      <w:fldChar w:fldCharType="separate"/>
                    </w:r>
                    <w:r>
                      <w:t>48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79AEF"/>
    <w:multiLevelType w:val="multilevel"/>
    <w:tmpl w:val="C8879AEF"/>
    <w:lvl w:ilvl="0" w:tentative="0">
      <w:start w:val="18"/>
      <w:numFmt w:val="decimal"/>
      <w:lvlText w:val="%1."/>
      <w:lvlJc w:val="left"/>
      <w:pPr>
        <w:ind w:left="1419" w:hanging="481"/>
        <w:jc w:val="left"/>
      </w:pPr>
      <w:rPr>
        <w:rFonts w:hint="default" w:ascii="宋体" w:hAnsi="宋体" w:eastAsia="宋体" w:cs="宋体"/>
        <w:b/>
        <w:bCs/>
        <w:spacing w:val="-3"/>
        <w:w w:val="99"/>
        <w:sz w:val="22"/>
        <w:szCs w:val="22"/>
        <w:lang w:val="zh-CN" w:eastAsia="zh-CN" w:bidi="zh-CN"/>
      </w:rPr>
    </w:lvl>
    <w:lvl w:ilvl="1" w:tentative="0">
      <w:start w:val="1"/>
      <w:numFmt w:val="decimal"/>
      <w:pStyle w:val="9"/>
      <w:lvlText w:val="%1.%2"/>
      <w:lvlJc w:val="left"/>
      <w:pPr>
        <w:ind w:left="458" w:hanging="54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409" w:hanging="540"/>
      </w:pPr>
      <w:rPr>
        <w:rFonts w:hint="default"/>
        <w:lang w:val="zh-CN" w:eastAsia="zh-CN" w:bidi="zh-CN"/>
      </w:rPr>
    </w:lvl>
    <w:lvl w:ilvl="3" w:tentative="0">
      <w:start w:val="0"/>
      <w:numFmt w:val="bullet"/>
      <w:lvlText w:val="•"/>
      <w:lvlJc w:val="left"/>
      <w:pPr>
        <w:ind w:left="3399" w:hanging="540"/>
      </w:pPr>
      <w:rPr>
        <w:rFonts w:hint="default"/>
        <w:lang w:val="zh-CN" w:eastAsia="zh-CN" w:bidi="zh-CN"/>
      </w:rPr>
    </w:lvl>
    <w:lvl w:ilvl="4" w:tentative="0">
      <w:start w:val="0"/>
      <w:numFmt w:val="bullet"/>
      <w:lvlText w:val="•"/>
      <w:lvlJc w:val="left"/>
      <w:pPr>
        <w:ind w:left="4388" w:hanging="540"/>
      </w:pPr>
      <w:rPr>
        <w:rFonts w:hint="default"/>
        <w:lang w:val="zh-CN" w:eastAsia="zh-CN" w:bidi="zh-CN"/>
      </w:rPr>
    </w:lvl>
    <w:lvl w:ilvl="5" w:tentative="0">
      <w:start w:val="0"/>
      <w:numFmt w:val="bullet"/>
      <w:lvlText w:val="•"/>
      <w:lvlJc w:val="left"/>
      <w:pPr>
        <w:ind w:left="5378" w:hanging="540"/>
      </w:pPr>
      <w:rPr>
        <w:rFonts w:hint="default"/>
        <w:lang w:val="zh-CN" w:eastAsia="zh-CN" w:bidi="zh-CN"/>
      </w:rPr>
    </w:lvl>
    <w:lvl w:ilvl="6" w:tentative="0">
      <w:start w:val="0"/>
      <w:numFmt w:val="bullet"/>
      <w:lvlText w:val="•"/>
      <w:lvlJc w:val="left"/>
      <w:pPr>
        <w:ind w:left="6367" w:hanging="540"/>
      </w:pPr>
      <w:rPr>
        <w:rFonts w:hint="default"/>
        <w:lang w:val="zh-CN" w:eastAsia="zh-CN" w:bidi="zh-CN"/>
      </w:rPr>
    </w:lvl>
    <w:lvl w:ilvl="7" w:tentative="0">
      <w:start w:val="0"/>
      <w:numFmt w:val="bullet"/>
      <w:lvlText w:val="•"/>
      <w:lvlJc w:val="left"/>
      <w:pPr>
        <w:ind w:left="7357" w:hanging="540"/>
      </w:pPr>
      <w:rPr>
        <w:rFonts w:hint="default"/>
        <w:lang w:val="zh-CN" w:eastAsia="zh-CN" w:bidi="zh-CN"/>
      </w:rPr>
    </w:lvl>
    <w:lvl w:ilvl="8" w:tentative="0">
      <w:start w:val="0"/>
      <w:numFmt w:val="bullet"/>
      <w:lvlText w:val="•"/>
      <w:lvlJc w:val="left"/>
      <w:pPr>
        <w:ind w:left="8346" w:hanging="540"/>
      </w:pPr>
      <w:rPr>
        <w:rFonts w:hint="default"/>
        <w:lang w:val="zh-CN" w:eastAsia="zh-CN" w:bidi="zh-CN"/>
      </w:rPr>
    </w:lvl>
  </w:abstractNum>
  <w:abstractNum w:abstractNumId="1">
    <w:nsid w:val="033E864D"/>
    <w:multiLevelType w:val="singleLevel"/>
    <w:tmpl w:val="033E864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DB5B6F"/>
    <w:rsid w:val="3EBF8AC6"/>
    <w:rsid w:val="43D54C44"/>
    <w:rsid w:val="4D865887"/>
    <w:rsid w:val="7E569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36"/>
      <w:ind w:right="52"/>
      <w:jc w:val="center"/>
      <w:outlineLvl w:val="0"/>
    </w:pPr>
    <w:rPr>
      <w:b/>
      <w:bCs/>
      <w:sz w:val="36"/>
      <w:szCs w:val="36"/>
    </w:rPr>
  </w:style>
  <w:style w:type="paragraph" w:styleId="3">
    <w:name w:val="heading 6"/>
    <w:basedOn w:val="1"/>
    <w:next w:val="1"/>
    <w:qFormat/>
    <w:uiPriority w:val="1"/>
    <w:pPr>
      <w:ind w:left="455"/>
      <w:outlineLvl w:val="5"/>
    </w:pPr>
    <w:rPr>
      <w:b/>
      <w:bCs/>
      <w:sz w:val="24"/>
      <w:szCs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1"/>
    <w:rPr>
      <w:sz w:val="24"/>
      <w:szCs w:val="24"/>
    </w:rPr>
  </w:style>
  <w:style w:type="paragraph" w:styleId="5">
    <w:name w:val="footer"/>
    <w:basedOn w:val="1"/>
    <w:qFormat/>
    <w:uiPriority w:val="0"/>
    <w:pPr>
      <w:tabs>
        <w:tab w:val="center" w:pos="4153"/>
        <w:tab w:val="right" w:pos="8306"/>
      </w:tabs>
      <w:snapToGrid w:val="0"/>
    </w:pPr>
    <w:rPr>
      <w:sz w:val="18"/>
      <w:szCs w:val="18"/>
    </w:rPr>
  </w:style>
  <w:style w:type="paragraph" w:styleId="6">
    <w:name w:val="Body Text First Indent"/>
    <w:basedOn w:val="4"/>
    <w:qFormat/>
    <w:uiPriority w:val="0"/>
    <w:pPr>
      <w:ind w:firstLine="420" w:firstLineChars="100"/>
    </w:pPr>
  </w:style>
  <w:style w:type="paragraph" w:styleId="9">
    <w:name w:val="List Paragraph"/>
    <w:basedOn w:val="1"/>
    <w:qFormat/>
    <w:uiPriority w:val="1"/>
    <w:pPr>
      <w:numPr>
        <w:ilvl w:val="1"/>
        <w:numId w:val="1"/>
      </w:numPr>
      <w:tabs>
        <w:tab w:val="left" w:pos="1877"/>
      </w:tabs>
      <w:spacing w:before="1" w:line="362" w:lineRule="auto"/>
      <w:ind w:right="510" w:firstLine="676"/>
      <w:jc w:val="both"/>
    </w:pPr>
  </w:style>
  <w:style w:type="paragraph" w:customStyle="1" w:styleId="10">
    <w:name w:val="Table Paragraph"/>
    <w:basedOn w:val="1"/>
    <w:qFormat/>
    <w:uiPriority w:val="1"/>
  </w:style>
  <w:style w:type="paragraph" w:customStyle="1" w:styleId="11">
    <w:name w:val="列出段落9"/>
    <w:basedOn w:val="1"/>
    <w:qFormat/>
    <w:uiPriority w:val="0"/>
    <w:pPr>
      <w:ind w:firstLine="420" w:firstLineChars="200"/>
    </w:pPr>
  </w:style>
  <w:style w:type="paragraph" w:customStyle="1" w:styleId="12">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customStyle="1" w:styleId="13">
    <w:name w:val="GHC 正文"/>
    <w:basedOn w:val="1"/>
    <w:qFormat/>
    <w:uiPriority w:val="0"/>
    <w:pPr>
      <w:spacing w:line="360" w:lineRule="auto"/>
      <w:ind w:firstLine="480" w:firstLineChars="200"/>
    </w:pPr>
    <w:rPr>
      <w:rFonts w:ascii="宋体" w:hAnsi="宋体" w:eastAsia="宋体"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13</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2025-10-21T05:31:00Z</dcterms:created>
  <dc:creator>z</dc:creator>
  <cp:lastModifiedBy>huawei</cp:lastModifiedBy>
  <cp:lastPrinted>2025-10-20T17:13:50Z</cp:lastPrinted>
  <dcterms:modified xsi:type="dcterms:W3CDTF">2025-10-20T17:24:04Z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KSOTemplateDocerSaveRecord">
    <vt:lpwstr>eyJoZGlkIjoiY2YxMGY1MGE3ODIyNzc1MzJmYjhiOTcyZTYyNTQxZGUiLCJ1c2VySWQiOiIxMzQwNTY4NzY5In0=</vt:lpwstr>
  </property>
  <property fmtid="{D5CDD505-2E9C-101B-9397-08002B2CF9AE}" pid="4" name="ICV">
    <vt:lpwstr>3ABD7B5971A045E35FF2F568E9C90B3D</vt:lpwstr>
  </property>
</Properties>
</file>