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BF1DB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 w14:paraId="0E78E729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7EB4BD9">
      <w:pPr>
        <w:adjustRightInd w:val="0"/>
        <w:snapToGrid w:val="0"/>
        <w:spacing w:line="240" w:lineRule="atLeas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拉萨市政务服务和公共资源交易</w:t>
      </w:r>
    </w:p>
    <w:p w14:paraId="4F127E7F">
      <w:pPr>
        <w:adjustRightInd w:val="0"/>
        <w:snapToGrid w:val="0"/>
        <w:spacing w:line="240" w:lineRule="atLeast"/>
        <w:ind w:firstLine="0" w:firstLineChars="0"/>
        <w:jc w:val="center"/>
        <w:rPr>
          <w:rFonts w:hint="default" w:ascii="Times New Roman Regular" w:hAnsi="Times New Roman Regular" w:eastAsia="方正公文小标宋" w:cs="Times New Roman Regular"/>
          <w:bCs/>
          <w:color w:val="000000"/>
          <w:sz w:val="44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电子监察系统项目编制服务采购需求</w:t>
      </w:r>
      <w:bookmarkEnd w:id="0"/>
    </w:p>
    <w:p w14:paraId="615E39E4">
      <w:pPr>
        <w:adjustRightInd w:val="0"/>
        <w:snapToGrid w:val="0"/>
        <w:spacing w:line="240" w:lineRule="atLeast"/>
        <w:ind w:firstLine="0" w:firstLineChars="0"/>
        <w:jc w:val="center"/>
        <w:rPr>
          <w:rFonts w:hint="eastAsia" w:ascii="Times New Roman Regular" w:hAnsi="Times New Roman Regular" w:eastAsia="方正公文小标宋" w:cs="Times New Roman Regular"/>
          <w:bCs/>
          <w:color w:val="000000"/>
          <w:szCs w:val="21"/>
        </w:rPr>
      </w:pPr>
    </w:p>
    <w:p w14:paraId="4E172DA4">
      <w:pPr>
        <w:adjustRightInd w:val="0"/>
        <w:snapToGrid w:val="0"/>
        <w:spacing w:line="560" w:lineRule="exact"/>
        <w:ind w:firstLine="640"/>
        <w:rPr>
          <w:rFonts w:hint="eastAsia" w:ascii="方正黑体_GBK" w:hAnsi="方正黑体_GBK" w:eastAsia="方正黑体_GBK" w:cs="方正黑体_GBK"/>
          <w:sz w:val="32"/>
          <w:szCs w:val="24"/>
        </w:rPr>
      </w:pPr>
      <w:r>
        <w:rPr>
          <w:rFonts w:hint="eastAsia" w:ascii="方正黑体_GBK" w:hAnsi="方正黑体_GBK" w:eastAsia="方正黑体_GBK" w:cs="方正黑体_GBK"/>
          <w:sz w:val="32"/>
          <w:szCs w:val="24"/>
        </w:rPr>
        <w:t>一、政务侧电子监察</w:t>
      </w:r>
    </w:p>
    <w:p w14:paraId="276B87BE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（一）办件效能监察</w:t>
      </w:r>
    </w:p>
    <w:p w14:paraId="40C630E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对政务服务事项运行全过程进行监察，涵盖事前、事中、事后过程，通过自动采集办件信息库数据，还原办件的办理过程，根据时效、内容、流程、收费、廉政五类监察指标自动判断，对异常情况发出预警信号，并通过“黄牌”和“红牌”方式进行提醒。根据预警信号，对发现的异常情况发出督办单，督查督办的结果可纳入部门及个人绩效考评。</w:t>
      </w:r>
    </w:p>
    <w:p w14:paraId="1DF6C31D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通过监察条件配置对相关数据进行逻辑计算，生成监察信息数据。通过自动采集办件信息库数据，还原办件的办理过程。根据监察指标自动判断，对异常情况发出预警信号。根据预警信号，对发现的异常情况发出督办单，被督办人员需在规定时间内给出答复。</w:t>
      </w:r>
    </w:p>
    <w:p w14:paraId="1BD0AF23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（二）大厅数字见证</w:t>
      </w:r>
    </w:p>
    <w:p w14:paraId="10C2CAB9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打造政务服务运行场景效能分析场景，归集政务服务运行数据，见证群众办事全过程，深度挖掘数据价值，快速排查群众在办事过程中出现的问题，进而分析政务服务优化提升方向，研判各类政务服务数据中的业务痛点、堵点问题，实现政务服务运行场景效能监测和整改督办。</w:t>
      </w:r>
    </w:p>
    <w:p w14:paraId="63A835FC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从咨询投诉、预约、排队取叫号、申报、审批发证办结、评价等方面，进行服务过程信息全面记录，</w:t>
      </w:r>
      <w:r>
        <w:rPr>
          <w:rFonts w:hint="eastAsia" w:ascii="方正仿宋_GBK" w:hAnsi="方正仿宋_GBK" w:eastAsia="方正仿宋_GBK" w:cs="方正仿宋_GBK"/>
          <w:sz w:val="32"/>
          <w:szCs w:val="24"/>
          <w:lang w:val="en-US" w:eastAsia="zh-CN"/>
        </w:rPr>
        <w:t>并将办件过程同步申请人，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通过智能模型智能化分析场景，围绕专题预埋报警点，预警后形成问题清单。基于指标监测、智能分析结果，精准定位问题和相关责任部门，发送任务工单进行督办整改。</w:t>
      </w:r>
    </w:p>
    <w:p w14:paraId="7812238C"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仿宋"/>
          <w:sz w:val="32"/>
          <w:szCs w:val="24"/>
        </w:rPr>
      </w:pPr>
      <w:r>
        <w:rPr>
          <w:rFonts w:hint="eastAsia" w:ascii="黑体" w:hAnsi="黑体" w:eastAsia="黑体" w:cs="仿宋"/>
          <w:sz w:val="32"/>
          <w:szCs w:val="24"/>
        </w:rPr>
        <w:t>二、审管联动</w:t>
      </w:r>
    </w:p>
    <w:p w14:paraId="31CCBCA6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基于“政务服务一体化平台”及全区“互联网+监管”应用系统建设基础上，以数据共享为核心，建立一体化、支撑化服务，推进监管数据标准化、规范化，促进监管数据全面归集、共享，为审管联动应用工作奠定基础。</w:t>
      </w:r>
    </w:p>
    <w:p w14:paraId="1EFEF266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建设审管联动应用，梳理、配置形成要素规范、完备的“审管联动”事项目录清单，配置联动业务规则，推动审批部门和执法部门数据双向推送和反馈，深化证照分离改革，构建完备的“审管联动”体制机制。</w:t>
      </w:r>
    </w:p>
    <w:p w14:paraId="222DB669">
      <w:pPr>
        <w:adjustRightInd w:val="0"/>
        <w:snapToGrid w:val="0"/>
        <w:spacing w:line="560" w:lineRule="exact"/>
        <w:ind w:firstLine="640"/>
        <w:rPr>
          <w:rFonts w:hint="eastAsia" w:ascii="黑体" w:hAnsi="黑体" w:eastAsia="黑体" w:cs="仿宋"/>
          <w:sz w:val="32"/>
          <w:szCs w:val="24"/>
        </w:rPr>
      </w:pPr>
      <w:r>
        <w:rPr>
          <w:rFonts w:hint="eastAsia" w:ascii="黑体" w:hAnsi="黑体" w:eastAsia="黑体" w:cs="仿宋"/>
          <w:sz w:val="32"/>
          <w:szCs w:val="24"/>
        </w:rPr>
        <w:t>三、交易侧电子监察</w:t>
      </w:r>
    </w:p>
    <w:p w14:paraId="3BA82ADA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（一）事前规范监察</w:t>
      </w:r>
    </w:p>
    <w:p w14:paraId="03998869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以严控招标人“自由度”为重点，规范标前工作，切实抓好源头监管。规范各方责任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建立健全公共资源交易责任清单，进一步明确各环节责任、厘清各主体权责，推行标前辅导、信息实时反馈服务。规范文件编制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建立负面清单管理制度和文件合规性监测制度，对招标文件进行监测预警，实现智能化预警、在线快速检测，及时纠正文件中的错误与偏差，防止出现影响公平竞争的限制性、排他性条款。</w:t>
      </w:r>
    </w:p>
    <w:p w14:paraId="1E8AA39F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（二）事中重点监察</w:t>
      </w:r>
    </w:p>
    <w:p w14:paraId="01335B68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严格流程监察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纵向到底，将项目从立项到财评，招标到中标，施工到结算的全过程环节均纳入平台监察，综合运用视频见证、视频预警、过程暂停、评标熔断等方式，及时中止影响公平竞争的项目开评标和履约合同签订。</w:t>
      </w:r>
    </w:p>
    <w:p w14:paraId="23315603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抓好场内监察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通过对评标区域评标专家、入区维护人员（授权人员）进行视频行为和轨迹行为分析，实现异常行为分析，结合开评标现场的音视频，可以实时掌握现场人员行为动态，如发现异常，会自动产生预警，利用平台实现了对了交易现场不同角色的精准管控，有效提升了招投标领域的现场监察能力。</w:t>
      </w:r>
    </w:p>
    <w:p w14:paraId="199E819D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强化主体监察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形成面向代理机构、投标单位、专家的专项监察模块，对接行业主管部门相关系统，获取代理机构资质申请过程数据，分析是否存在资质挂靠、弄虚作假行为，明确各代理机构对应的资质及从业人员的所属关系。对专家的打分进行实时监测和分析，分析专家的打分是否存在主观偏差、关系分、倾向性问题，以及异常打分对评审结果产生不良影响的风险。进一步挖掘投标单位之间的关系网络，深度挖掘围串标线索和团伙，通过对接外部企业股权数据，对投标人之间、投标人与专家之间互相股权交叉情况进行分析。</w:t>
      </w:r>
    </w:p>
    <w:p w14:paraId="2FCA2A58">
      <w:pPr>
        <w:spacing w:line="560" w:lineRule="exact"/>
        <w:ind w:firstLine="640"/>
        <w:rPr>
          <w:rFonts w:hint="eastAsia" w:ascii="方正楷体_GBK" w:hAnsi="方正楷体_GBK" w:eastAsia="方正楷体_GBK" w:cs="方正楷体_GBK"/>
          <w:sz w:val="32"/>
          <w:szCs w:val="24"/>
        </w:rPr>
      </w:pPr>
      <w:r>
        <w:rPr>
          <w:rFonts w:hint="eastAsia" w:ascii="方正楷体_GBK" w:hAnsi="方正楷体_GBK" w:eastAsia="方正楷体_GBK" w:cs="方正楷体_GBK"/>
          <w:sz w:val="32"/>
          <w:szCs w:val="24"/>
        </w:rPr>
        <w:t>（三）事后履约监察</w:t>
      </w:r>
    </w:p>
    <w:p w14:paraId="66C7A27E">
      <w:pPr>
        <w:spacing w:line="560" w:lineRule="exact"/>
        <w:ind w:firstLine="640"/>
        <w:rPr>
          <w:rFonts w:hint="eastAsia" w:ascii="方正仿宋_GBK" w:hAnsi="方正仿宋_GBK" w:eastAsia="方正仿宋_GBK" w:cs="方正仿宋_GBK"/>
          <w:sz w:val="32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24"/>
        </w:rPr>
        <w:t>合同签订及履约监察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合同严格按照清单化、模板化编制，利用AI、自然语言处理等技术，对比招标文件中规定的技术参数、合同条款等内容，分析编制的合同内容是否存在参数修改、调整工程内容、资金拨付异常等违规行为。</w:t>
      </w:r>
    </w:p>
    <w:p w14:paraId="7EFEAC2E">
      <w:r>
        <w:rPr>
          <w:rFonts w:hint="eastAsia" w:ascii="方正仿宋_GBK" w:hAnsi="方正仿宋_GBK" w:eastAsia="方正仿宋_GBK" w:cs="方正仿宋_GBK"/>
          <w:sz w:val="32"/>
          <w:szCs w:val="24"/>
        </w:rPr>
        <w:t>施工现场人员监察</w:t>
      </w:r>
      <w:r>
        <w:rPr>
          <w:rFonts w:hint="eastAsia" w:ascii="方正仿宋_GBK" w:hAnsi="方正仿宋_GBK" w:eastAsia="方正仿宋_GBK" w:cs="方正仿宋_GBK"/>
          <w:sz w:val="32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4"/>
        </w:rPr>
        <w:t>采集施工现场的项目管理人员信息和考勤信息，与招投标环节的单位、人员以及该人员缴纳社保的信息进行多方面分析，识别出承建单位不一致、承诺人员不一致、考勤不达标等方面的异常情形。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D5052"/>
    <w:rsid w:val="64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2024-12-30T02:07:00Z</dcterms:created>
  <dc:creator>Take me away</dc:creator>
  <cp:lastModifiedBy>Take me away</cp:lastModifiedBy>
  <dcterms:modified xsi:type="dcterms:W3CDTF">2024-12-30T02:07:52Z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823FD7E3E8C940E8BEBA2D7D797BBAC0_11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