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lef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拉萨三级政务服务大厅智能化项目</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实施方案编制评分办法及评分表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rPr>
        <w:t>一、资格性审查内容</w:t>
      </w:r>
    </w:p>
    <w:tbl>
      <w:tblPr>
        <w:tblStyle w:val="31"/>
        <w:tblW w:w="0" w:type="auto"/>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4"/>
        <w:gridCol w:w="2906"/>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exact"/>
        </w:trPr>
        <w:tc>
          <w:tcPr>
            <w:tcW w:w="764"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序号</w:t>
            </w:r>
          </w:p>
        </w:tc>
        <w:tc>
          <w:tcPr>
            <w:tcW w:w="2906"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评审因素</w:t>
            </w:r>
          </w:p>
        </w:tc>
        <w:tc>
          <w:tcPr>
            <w:tcW w:w="602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2"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1</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具有独立承担民事责任的能力</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如供应商是企业（包括合伙企业），应提供在工商部门注册的有效“企业法人营业执照”或“营业执照”资料；如供应商是事业单位，应提供有效的“事业单位法人证书”资料；供应商是非企业专业服务机构的，应提供执业许可证等证明文件；如供应商是个体工商户，应提供有效的“个体工商户营业执照”资料；如供应商是自然人，应提供有效的自然人身份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2</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具有良好的商业信誉和健全的财务会计制度</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供应商是法人的，应提供 2021年、2022年经审计的财务报告，或财务报表，或其单位开户银行出具的资信证明等财务会计制度证明资料。部分其他组织和自然人，没有经审计的财务报告，可以提供银行出具的资信证明。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3</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具有履行合同所必需的设备和专业技术能力</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提供可充分满足履行合同所需设备和专业技术能力的证明材料或承诺函。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4</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有依法缴纳税收和社会保障资金的良好记录</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是否按照招标文件提供 2021年、2022年依法缴纳社会保障资金的良好记录的证明材料。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5</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重大违法记录的声明</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提供了有效的参加政府采购活动前3年内在经营活动中没有重大违法记录的书面声明。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7"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6</w:t>
            </w: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en-US"/>
              </w:rPr>
            </w:pPr>
            <w:r>
              <w:rPr>
                <w:rFonts w:hint="eastAsia" w:ascii="仿宋_GB2312" w:hAnsi="仿宋_GB2312" w:eastAsia="仿宋_GB2312" w:cs="仿宋_GB2312"/>
                <w:kern w:val="0"/>
                <w:sz w:val="21"/>
                <w:szCs w:val="21"/>
                <w:lang w:eastAsia="en-US"/>
              </w:rPr>
              <w:t>信用记录</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en-US"/>
              </w:rPr>
              <w:t>未被“信用中国”网站（www.creditchina.gov.cn）中列入失信被执行人和重大税收违法案件当事人名单的供应商、未被中国政府采购网（www.ccgp.gov.cn）列入政府采购严重违法失信行为记录名单中被财政部门禁止参加政府采购活动的供应商（处罚决定规定的时间和地域范围内）</w:t>
            </w:r>
            <w:r>
              <w:rPr>
                <w:rFonts w:hint="eastAsia" w:ascii="仿宋_GB2312" w:hAnsi="仿宋_GB2312" w:eastAsia="仿宋_GB2312" w:cs="仿宋_GB2312"/>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76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en-US"/>
              </w:rPr>
            </w:pPr>
          </w:p>
        </w:tc>
        <w:tc>
          <w:tcPr>
            <w:tcW w:w="290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其他规定</w:t>
            </w:r>
          </w:p>
        </w:tc>
        <w:tc>
          <w:tcPr>
            <w:tcW w:w="60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符合《中华人民共和国政府采购法》第二十二条规定。本项目不接受联合体比选。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_GB2312" w:hAnsi="仿宋_GB2312" w:eastAsia="仿宋_GB2312" w:cs="仿宋_GB2312"/>
                <w:kern w:val="0"/>
                <w:sz w:val="21"/>
                <w:szCs w:val="21"/>
                <w:lang w:eastAsia="en-US"/>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rPr>
        <w:sectPr>
          <w:headerReference r:id="rId7" w:type="first"/>
          <w:footerReference r:id="rId10" w:type="first"/>
          <w:headerReference r:id="rId5" w:type="default"/>
          <w:footerReference r:id="rId8" w:type="default"/>
          <w:headerReference r:id="rId6" w:type="even"/>
          <w:footerReference r:id="rId9" w:type="even"/>
          <w:pgSz w:w="11910" w:h="16840"/>
          <w:pgMar w:top="1120" w:right="860" w:bottom="1100" w:left="900" w:header="0" w:footer="903" w:gutter="0"/>
          <w:pgNumType w:start="19"/>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符合性检查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评标委员会依据本招标文件的实质性要求，对符合资格的投标文件进行审查，以确定其是否满足本招标文件的实质性要求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审查内容如下：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693"/>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评审因素</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供应商名称</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是否与营业执照一致</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投标文件有效期</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投标文件有效期满足招标文件要求</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投标保证金</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投标保证金满足招标文件要求</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投标报价</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投标报价未超过本项目最高限价</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控股关联关系声明</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提供“供应商关联企业情况声明”。各供应商之间不存在单位负责人为同一人或者存在控股、管理关系情形提供了证明材料或承诺</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693"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前期工作关联信承诺书</w:t>
            </w:r>
          </w:p>
        </w:tc>
        <w:tc>
          <w:tcPr>
            <w:tcW w:w="4870"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提供未为本项目整体设计、规范编制或者项目管理、监理、检测等服务证明材料或承诺</w:t>
            </w:r>
            <w:r>
              <w:rPr>
                <w:rFonts w:hint="eastAsia" w:ascii="仿宋_GB2312" w:hAnsi="仿宋_GB2312" w:eastAsia="仿宋_GB2312" w:cs="仿宋_GB2312"/>
                <w:kern w:val="0"/>
                <w:sz w:val="24"/>
                <w:szCs w:val="24"/>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420" w:firstLine="0" w:firstLineChars="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三、评标方法和评分办法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建议本次评标采用综合评估法。评标委员会对满足招标文件实质性要求的投标文件，按照本章规定的评分因素和评分标准进行评分，并按得分由高到低顺序推荐中标候选人，但投标报价低于成本的除外。</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58" w:type="dxa"/>
            <w:tcBorders>
              <w:top w:val="double" w:color="auto" w:sz="4" w:space="0"/>
              <w:left w:val="double" w:color="auto" w:sz="4" w:space="0"/>
              <w:bottom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具体项目</w:t>
            </w:r>
          </w:p>
        </w:tc>
        <w:tc>
          <w:tcPr>
            <w:tcW w:w="4590" w:type="dxa"/>
            <w:tcBorders>
              <w:top w:val="double" w:color="auto" w:sz="4" w:space="0"/>
              <w:bottom w:val="doub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权值范围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558" w:type="dxa"/>
            <w:tcBorders>
              <w:top w:val="double" w:color="auto" w:sz="4" w:space="0"/>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投标报价</w:t>
            </w:r>
          </w:p>
        </w:tc>
        <w:tc>
          <w:tcPr>
            <w:tcW w:w="4590" w:type="dxa"/>
            <w:tcBorders>
              <w:top w:val="doub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A1=0.10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558" w:type="dxa"/>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技术性能</w:t>
            </w:r>
          </w:p>
        </w:tc>
        <w:tc>
          <w:tcPr>
            <w:tcW w:w="4590" w:type="dxa"/>
            <w:tcBorders>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A2=0.50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558" w:type="dxa"/>
            <w:tcBorders>
              <w:left w:val="double" w:color="auto" w:sz="4" w:space="0"/>
              <w:bottom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商务部分</w:t>
            </w:r>
          </w:p>
        </w:tc>
        <w:tc>
          <w:tcPr>
            <w:tcW w:w="4590" w:type="dxa"/>
            <w:tcBorders>
              <w:bottom w:val="doub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A3=0.40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rPr>
      </w:pPr>
    </w:p>
    <w:p>
      <w:pPr>
        <w:pStyle w:val="2"/>
        <w:rPr>
          <w:rFonts w:hint="eastAsia"/>
        </w:rPr>
      </w:pPr>
      <w:bookmarkStart w:id="17" w:name="_GoBack"/>
      <w:bookmarkEnd w:id="17"/>
    </w:p>
    <w:tbl>
      <w:tblPr>
        <w:tblStyle w:val="16"/>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2"/>
        <w:gridCol w:w="1180"/>
        <w:gridCol w:w="709"/>
        <w:gridCol w:w="5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1362" w:type="dxa"/>
            <w:tcBorders>
              <w:top w:val="double" w:color="auto" w:sz="4" w:space="0"/>
              <w:left w:val="doub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1180" w:type="dxa"/>
            <w:tcBorders>
              <w:top w:val="doub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计分因素</w:t>
            </w:r>
          </w:p>
        </w:tc>
        <w:tc>
          <w:tcPr>
            <w:tcW w:w="709" w:type="dxa"/>
            <w:tcBorders>
              <w:top w:val="double" w:color="auto" w:sz="4" w:space="0"/>
              <w:left w:val="sing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5856" w:type="dxa"/>
            <w:tcBorders>
              <w:top w:val="double" w:color="auto" w:sz="4" w:space="0"/>
              <w:left w:val="single" w:color="auto" w:sz="6"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32" w:hRule="atLeast"/>
          <w:jc w:val="center"/>
        </w:trPr>
        <w:tc>
          <w:tcPr>
            <w:tcW w:w="1362" w:type="dxa"/>
            <w:tcBorders>
              <w:top w:val="double" w:color="auto" w:sz="4" w:space="0"/>
              <w:left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A1)</w:t>
            </w:r>
          </w:p>
        </w:tc>
        <w:tc>
          <w:tcPr>
            <w:tcW w:w="1180" w:type="dxa"/>
            <w:tcBorders>
              <w:top w:val="doub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投标总价</w:t>
            </w:r>
          </w:p>
        </w:tc>
        <w:tc>
          <w:tcPr>
            <w:tcW w:w="709" w:type="dxa"/>
            <w:tcBorders>
              <w:top w:val="double" w:color="auto" w:sz="4"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5856" w:type="dxa"/>
            <w:tcBorders>
              <w:top w:val="double" w:color="auto" w:sz="4" w:space="0"/>
              <w:left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满足招标文件要求且投标报价中最低的投标报价为评标基准价其价格分为满分；其他投标人的价格分统一按照以下公式计算：投标报价得分=（评标基准价/投标报价）×价格权值×100</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注：此栏中的计分因素“投标报价”为依据政策调整后的投标报价。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362" w:type="dxa"/>
            <w:vMerge w:val="restart"/>
            <w:tcBorders>
              <w:top w:val="single" w:color="auto" w:sz="4" w:space="0"/>
              <w:left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技术性能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A2)</w:t>
            </w: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需求理解</w:t>
            </w:r>
          </w:p>
        </w:tc>
        <w:tc>
          <w:tcPr>
            <w:tcW w:w="709"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5856" w:type="dxa"/>
            <w:tcBorders>
              <w:top w:val="single" w:color="auto" w:sz="4"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拉萨三级政务服务大厅智能化项目</w:t>
            </w:r>
            <w:r>
              <w:rPr>
                <w:rFonts w:hint="eastAsia" w:ascii="仿宋_GB2312" w:hAnsi="仿宋_GB2312" w:eastAsia="仿宋_GB2312" w:cs="仿宋_GB2312"/>
                <w:sz w:val="24"/>
                <w:szCs w:val="24"/>
              </w:rPr>
              <w:t>建设有深刻、准确</w:t>
            </w:r>
            <w:r>
              <w:rPr>
                <w:rFonts w:hint="eastAsia" w:ascii="仿宋_GB2312" w:hAnsi="仿宋_GB2312" w:eastAsia="仿宋_GB2312" w:cs="仿宋_GB2312"/>
                <w:sz w:val="24"/>
                <w:szCs w:val="24"/>
                <w:lang w:eastAsia="zh-CN"/>
              </w:rPr>
              <w:t>地</w:t>
            </w:r>
            <w:r>
              <w:rPr>
                <w:rFonts w:hint="eastAsia" w:ascii="仿宋_GB2312" w:hAnsi="仿宋_GB2312" w:eastAsia="仿宋_GB2312" w:cs="仿宋_GB2312"/>
                <w:sz w:val="24"/>
                <w:szCs w:val="24"/>
              </w:rPr>
              <w:t>理解和分析。</w:t>
            </w:r>
            <w:r>
              <w:rPr>
                <w:rFonts w:hint="eastAsia" w:ascii="仿宋_GB2312" w:hAnsi="仿宋_GB2312" w:eastAsia="仿宋_GB2312" w:cs="仿宋_GB2312"/>
                <w:sz w:val="24"/>
                <w:szCs w:val="24"/>
                <w:lang w:val="en-US" w:eastAsia="zh-CN"/>
              </w:rPr>
              <w:t>提供如下内容：</w:t>
            </w:r>
            <w:r>
              <w:rPr>
                <w:rFonts w:hint="eastAsia" w:ascii="仿宋_GB2312" w:hAnsi="仿宋_GB2312" w:eastAsia="仿宋_GB2312" w:cs="仿宋_GB2312"/>
                <w:sz w:val="24"/>
                <w:szCs w:val="24"/>
              </w:rPr>
              <w:t>需求分析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项目建设的必要性</w:t>
            </w:r>
            <w:r>
              <w:rPr>
                <w:rFonts w:hint="eastAsia" w:ascii="仿宋_GB2312" w:hAnsi="仿宋_GB2312" w:eastAsia="仿宋_GB2312" w:cs="仿宋_GB2312"/>
                <w:sz w:val="24"/>
                <w:szCs w:val="24"/>
                <w:lang w:eastAsia="zh-CN"/>
              </w:rPr>
              <w:t>、</w:t>
            </w:r>
            <w:bookmarkStart w:id="0" w:name="_Toc68876379"/>
            <w:r>
              <w:rPr>
                <w:rFonts w:hint="eastAsia" w:ascii="仿宋_GB2312" w:hAnsi="仿宋_GB2312" w:eastAsia="仿宋_GB2312" w:cs="仿宋_GB2312"/>
                <w:sz w:val="24"/>
                <w:szCs w:val="24"/>
              </w:rPr>
              <w:t>政务业务目标需求分析结论</w:t>
            </w:r>
            <w:bookmarkEnd w:id="0"/>
            <w:r>
              <w:rPr>
                <w:rFonts w:hint="eastAsia" w:ascii="仿宋_GB2312" w:hAnsi="仿宋_GB2312" w:eastAsia="仿宋_GB2312" w:cs="仿宋_GB2312"/>
                <w:sz w:val="24"/>
                <w:szCs w:val="24"/>
                <w:lang w:eastAsia="zh-CN"/>
              </w:rPr>
              <w:t>、</w:t>
            </w:r>
            <w:bookmarkStart w:id="1" w:name="_Toc6939"/>
            <w:bookmarkStart w:id="2" w:name="_Toc68876361"/>
            <w:r>
              <w:rPr>
                <w:rFonts w:hint="eastAsia" w:ascii="仿宋_GB2312" w:hAnsi="仿宋_GB2312" w:eastAsia="仿宋_GB2312" w:cs="仿宋_GB2312"/>
                <w:sz w:val="24"/>
                <w:szCs w:val="24"/>
                <w:lang w:eastAsia="zh-CN"/>
              </w:rPr>
              <w:t>效益</w:t>
            </w:r>
            <w:bookmarkEnd w:id="1"/>
            <w:r>
              <w:rPr>
                <w:rFonts w:hint="eastAsia" w:ascii="仿宋_GB2312" w:hAnsi="仿宋_GB2312" w:eastAsia="仿宋_GB2312" w:cs="仿宋_GB2312"/>
                <w:sz w:val="24"/>
                <w:szCs w:val="24"/>
                <w:lang w:eastAsia="zh-CN"/>
              </w:rPr>
              <w:t>及风险</w:t>
            </w:r>
            <w:bookmarkEnd w:id="2"/>
            <w:r>
              <w:rPr>
                <w:rFonts w:hint="eastAsia" w:ascii="仿宋_GB2312" w:hAnsi="仿宋_GB2312" w:eastAsia="仿宋_GB2312" w:cs="仿宋_GB2312"/>
                <w:sz w:val="24"/>
                <w:szCs w:val="24"/>
                <w:lang w:val="en-US" w:eastAsia="zh-CN"/>
              </w:rPr>
              <w:t>分析</w:t>
            </w:r>
            <w:r>
              <w:rPr>
                <w:rFonts w:hint="eastAsia" w:ascii="仿宋_GB2312" w:hAnsi="仿宋_GB2312" w:eastAsia="仿宋_GB2312" w:cs="仿宋_GB2312"/>
                <w:sz w:val="24"/>
                <w:szCs w:val="24"/>
                <w:lang w:eastAsia="zh-CN"/>
              </w:rPr>
              <w:t>、</w:t>
            </w:r>
            <w:bookmarkStart w:id="3" w:name="_Toc68876388"/>
            <w:r>
              <w:rPr>
                <w:rFonts w:hint="eastAsia" w:ascii="仿宋_GB2312" w:hAnsi="仿宋_GB2312" w:eastAsia="仿宋_GB2312" w:cs="仿宋_GB2312"/>
                <w:sz w:val="24"/>
                <w:szCs w:val="24"/>
              </w:rPr>
              <w:t>信息量指标</w:t>
            </w:r>
            <w:bookmarkEnd w:id="3"/>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根据提供的内容进行评审，所提内容</w:t>
            </w:r>
            <w:r>
              <w:rPr>
                <w:rFonts w:hint="eastAsia" w:ascii="仿宋_GB2312" w:hAnsi="仿宋_GB2312" w:eastAsia="仿宋_GB2312" w:cs="仿宋_GB2312"/>
                <w:sz w:val="24"/>
                <w:szCs w:val="24"/>
              </w:rPr>
              <w:t>详实、清晰合理，操作性强</w:t>
            </w:r>
            <w:r>
              <w:rPr>
                <w:rFonts w:hint="eastAsia" w:ascii="仿宋_GB2312" w:hAnsi="仿宋_GB2312" w:eastAsia="仿宋_GB2312" w:cs="仿宋_GB2312"/>
                <w:sz w:val="24"/>
                <w:szCs w:val="24"/>
                <w:lang w:val="en-US" w:eastAsia="zh-CN"/>
              </w:rPr>
              <w:t>的每项得6分，合计30分；所提内容存在每项不完善的情况不得分。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362" w:type="dxa"/>
            <w:vMerge w:val="continue"/>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系统设计</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585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总体设计方案涵盖全面，包括</w:t>
            </w:r>
            <w:bookmarkStart w:id="4" w:name="_Toc15050"/>
            <w:bookmarkStart w:id="5" w:name="_Toc68876401"/>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建设原则和策略</w:t>
            </w:r>
            <w:bookmarkEnd w:id="4"/>
            <w:bookmarkEnd w:id="5"/>
            <w:r>
              <w:rPr>
                <w:rFonts w:hint="eastAsia" w:ascii="仿宋_GB2312" w:hAnsi="仿宋_GB2312" w:eastAsia="仿宋_GB2312" w:cs="仿宋_GB2312"/>
                <w:sz w:val="24"/>
                <w:szCs w:val="24"/>
              </w:rPr>
              <w:t>、</w:t>
            </w:r>
            <w:bookmarkStart w:id="6" w:name="_Toc68876405"/>
            <w:r>
              <w:rPr>
                <w:rFonts w:hint="eastAsia" w:ascii="仿宋_GB2312" w:hAnsi="仿宋_GB2312" w:eastAsia="仿宋_GB2312" w:cs="仿宋_GB2312"/>
                <w:sz w:val="24"/>
                <w:szCs w:val="24"/>
              </w:rPr>
              <w:t>项目建设目标</w:t>
            </w:r>
            <w:bookmarkEnd w:id="6"/>
            <w:r>
              <w:rPr>
                <w:rFonts w:hint="eastAsia" w:ascii="仿宋_GB2312" w:hAnsi="仿宋_GB2312" w:eastAsia="仿宋_GB2312" w:cs="仿宋_GB2312"/>
                <w:sz w:val="24"/>
                <w:szCs w:val="24"/>
              </w:rPr>
              <w:t>、</w:t>
            </w:r>
            <w:bookmarkStart w:id="7" w:name="_Toc68876406"/>
            <w:bookmarkStart w:id="8" w:name="_Toc22994"/>
            <w:r>
              <w:rPr>
                <w:rFonts w:hint="eastAsia" w:ascii="仿宋_GB2312" w:hAnsi="仿宋_GB2312" w:eastAsia="仿宋_GB2312" w:cs="仿宋_GB2312"/>
                <w:sz w:val="24"/>
                <w:szCs w:val="24"/>
              </w:rPr>
              <w:t>项目建设任务</w:t>
            </w:r>
            <w:bookmarkEnd w:id="7"/>
            <w:bookmarkEnd w:id="8"/>
            <w:r>
              <w:rPr>
                <w:rFonts w:hint="eastAsia" w:ascii="仿宋_GB2312" w:hAnsi="仿宋_GB2312" w:eastAsia="仿宋_GB2312" w:cs="仿宋_GB2312"/>
                <w:sz w:val="24"/>
                <w:szCs w:val="24"/>
              </w:rPr>
              <w:t>、</w:t>
            </w:r>
            <w:bookmarkStart w:id="9" w:name="_Toc68876407"/>
            <w:r>
              <w:rPr>
                <w:rFonts w:hint="eastAsia" w:ascii="仿宋_GB2312" w:hAnsi="仿宋_GB2312" w:eastAsia="仿宋_GB2312" w:cs="仿宋_GB2312"/>
                <w:sz w:val="24"/>
                <w:szCs w:val="24"/>
              </w:rPr>
              <w:t>系统总体架构和逻辑结构</w:t>
            </w:r>
            <w:bookmarkEnd w:id="9"/>
            <w:r>
              <w:rPr>
                <w:rFonts w:hint="eastAsia" w:ascii="仿宋_GB2312" w:hAnsi="仿宋_GB2312" w:eastAsia="仿宋_GB2312" w:cs="仿宋_GB2312"/>
                <w:sz w:val="24"/>
                <w:szCs w:val="24"/>
              </w:rPr>
              <w:t>、</w:t>
            </w:r>
            <w:bookmarkStart w:id="10" w:name="_Toc68876417"/>
            <w:r>
              <w:rPr>
                <w:rFonts w:hint="eastAsia" w:ascii="仿宋_GB2312" w:hAnsi="仿宋_GB2312" w:eastAsia="仿宋_GB2312" w:cs="仿宋_GB2312"/>
                <w:sz w:val="24"/>
                <w:szCs w:val="24"/>
              </w:rPr>
              <w:t>与信创适配说明</w:t>
            </w:r>
            <w:bookmarkEnd w:id="10"/>
            <w:r>
              <w:rPr>
                <w:rFonts w:hint="eastAsia" w:ascii="仿宋_GB2312" w:hAnsi="仿宋_GB2312" w:eastAsia="仿宋_GB2312" w:cs="仿宋_GB2312"/>
                <w:sz w:val="24"/>
                <w:szCs w:val="24"/>
              </w:rPr>
              <w:t>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根据系统整体设计方案的优劣进行评分，</w:t>
            </w:r>
            <w:r>
              <w:rPr>
                <w:rFonts w:hint="eastAsia" w:ascii="仿宋_GB2312" w:hAnsi="仿宋_GB2312" w:eastAsia="仿宋_GB2312" w:cs="仿宋_GB2312"/>
                <w:sz w:val="24"/>
                <w:szCs w:val="24"/>
                <w:lang w:val="en-US" w:eastAsia="zh-CN"/>
              </w:rPr>
              <w:t>所提供的内容每项完善且充分可行的得9分，合计得45分</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对以上内容理解基本有误，系统整体设计方案不合理的和未提供的</w:t>
            </w:r>
            <w:r>
              <w:rPr>
                <w:rFonts w:hint="eastAsia" w:ascii="仿宋_GB2312" w:hAnsi="仿宋_GB2312" w:eastAsia="仿宋_GB2312" w:cs="仿宋_GB2312"/>
                <w:sz w:val="24"/>
                <w:szCs w:val="24"/>
                <w:lang w:val="en-US" w:eastAsia="zh-CN"/>
              </w:rPr>
              <w:t>不得分</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362" w:type="dxa"/>
            <w:vMerge w:val="continue"/>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585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针对本次项目进行摸底</w:t>
            </w:r>
            <w:r>
              <w:rPr>
                <w:rFonts w:hint="eastAsia" w:ascii="仿宋_GB2312" w:hAnsi="仿宋_GB2312" w:eastAsia="仿宋_GB2312" w:cs="仿宋_GB2312"/>
                <w:sz w:val="24"/>
                <w:szCs w:val="24"/>
              </w:rPr>
              <w:t>，提供</w:t>
            </w:r>
            <w:r>
              <w:rPr>
                <w:rFonts w:hint="eastAsia" w:ascii="仿宋_GB2312" w:hAnsi="仿宋_GB2312" w:eastAsia="仿宋_GB2312" w:cs="仿宋_GB2312"/>
                <w:sz w:val="24"/>
                <w:szCs w:val="24"/>
                <w:lang w:val="en-US" w:eastAsia="zh-CN"/>
              </w:rPr>
              <w:t>本期建设设计方案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包括：</w:t>
            </w:r>
            <w:bookmarkStart w:id="11" w:name="_Toc68876418"/>
            <w:r>
              <w:rPr>
                <w:rFonts w:hint="eastAsia" w:ascii="仿宋_GB2312" w:hAnsi="仿宋_GB2312" w:eastAsia="仿宋_GB2312" w:cs="仿宋_GB2312"/>
                <w:sz w:val="24"/>
                <w:szCs w:val="24"/>
              </w:rPr>
              <w:t>信息资源规划与共享</w:t>
            </w:r>
            <w:bookmarkEnd w:id="11"/>
            <w:r>
              <w:rPr>
                <w:rFonts w:hint="eastAsia" w:ascii="仿宋_GB2312" w:hAnsi="仿宋_GB2312" w:eastAsia="仿宋_GB2312" w:cs="仿宋_GB2312"/>
                <w:sz w:val="24"/>
                <w:szCs w:val="24"/>
                <w:lang w:eastAsia="zh-CN"/>
              </w:rPr>
              <w:t>、</w:t>
            </w:r>
            <w:bookmarkStart w:id="12" w:name="_Toc68876448"/>
            <w:bookmarkStart w:id="13" w:name="_Toc7242"/>
            <w:r>
              <w:rPr>
                <w:rFonts w:hint="eastAsia" w:ascii="仿宋_GB2312" w:hAnsi="仿宋_GB2312" w:eastAsia="仿宋_GB2312" w:cs="仿宋_GB2312"/>
                <w:sz w:val="24"/>
                <w:szCs w:val="24"/>
              </w:rPr>
              <w:t>应用软件建设</w:t>
            </w:r>
            <w:bookmarkEnd w:id="12"/>
            <w:bookmarkEnd w:id="13"/>
            <w:r>
              <w:rPr>
                <w:rFonts w:hint="eastAsia" w:ascii="仿宋_GB2312" w:hAnsi="仿宋_GB2312" w:eastAsia="仿宋_GB2312" w:cs="仿宋_GB2312"/>
                <w:sz w:val="24"/>
                <w:szCs w:val="24"/>
                <w:lang w:eastAsia="zh-CN"/>
              </w:rPr>
              <w:t>、</w:t>
            </w:r>
            <w:bookmarkStart w:id="14" w:name="_Toc68876455"/>
            <w:r>
              <w:rPr>
                <w:rFonts w:hint="eastAsia" w:ascii="仿宋_GB2312" w:hAnsi="仿宋_GB2312" w:eastAsia="仿宋_GB2312" w:cs="仿宋_GB2312"/>
                <w:sz w:val="24"/>
                <w:szCs w:val="24"/>
              </w:rPr>
              <w:t>安全保障</w:t>
            </w:r>
            <w:bookmarkEnd w:id="14"/>
            <w:r>
              <w:rPr>
                <w:rFonts w:hint="eastAsia" w:ascii="仿宋_GB2312" w:hAnsi="仿宋_GB2312" w:eastAsia="仿宋_GB2312" w:cs="仿宋_GB2312"/>
                <w:sz w:val="24"/>
                <w:szCs w:val="24"/>
                <w:lang w:eastAsia="zh-CN"/>
              </w:rPr>
              <w:t>、</w:t>
            </w:r>
            <w:bookmarkStart w:id="15" w:name="_Toc28322"/>
            <w:bookmarkStart w:id="16" w:name="_Toc68876473"/>
            <w:r>
              <w:rPr>
                <w:rFonts w:hint="eastAsia" w:ascii="仿宋_GB2312" w:hAnsi="仿宋_GB2312" w:eastAsia="仿宋_GB2312" w:cs="仿宋_GB2312"/>
                <w:sz w:val="24"/>
                <w:szCs w:val="24"/>
                <w:lang w:eastAsia="zh-CN"/>
              </w:rPr>
              <w:t>运行维护设计</w:t>
            </w:r>
            <w:bookmarkEnd w:id="15"/>
            <w:bookmarkEnd w:id="16"/>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根据项目整体设计方案的优劣进行评分，</w:t>
            </w:r>
            <w:r>
              <w:rPr>
                <w:rFonts w:hint="eastAsia" w:ascii="仿宋_GB2312" w:hAnsi="仿宋_GB2312" w:eastAsia="仿宋_GB2312" w:cs="仿宋_GB2312"/>
                <w:sz w:val="24"/>
                <w:szCs w:val="24"/>
                <w:lang w:val="en-US" w:eastAsia="zh-CN"/>
              </w:rPr>
              <w:t>所提供的内容每项完善且充分可行的得5分，合计得20分</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对以上内容理解基本有误，系统整体设计方案不合理的和未提供的</w:t>
            </w:r>
            <w:r>
              <w:rPr>
                <w:rFonts w:hint="eastAsia" w:ascii="仿宋_GB2312" w:hAnsi="仿宋_GB2312" w:eastAsia="仿宋_GB2312" w:cs="仿宋_GB2312"/>
                <w:sz w:val="24"/>
                <w:szCs w:val="24"/>
                <w:lang w:val="en-US" w:eastAsia="zh-CN"/>
              </w:rPr>
              <w:t>不得分</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362" w:type="dxa"/>
            <w:vMerge w:val="continue"/>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5856" w:type="dxa"/>
            <w:tcBorders>
              <w:top w:val="single" w:color="auto" w:sz="6" w:space="0"/>
              <w:left w:val="single" w:color="auto" w:sz="4" w:space="0"/>
              <w:bottom w:val="single" w:color="auto" w:sz="6"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有完善可行的售后服务方案，有详细的售后服务体系、服务承诺、服务类型、服务方式、服务流程等内容。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根据售后服务方案的优劣进行评分，</w:t>
            </w:r>
            <w:r>
              <w:rPr>
                <w:rFonts w:hint="eastAsia" w:ascii="仿宋_GB2312" w:hAnsi="仿宋_GB2312" w:eastAsia="仿宋_GB2312" w:cs="仿宋_GB2312"/>
                <w:sz w:val="24"/>
                <w:szCs w:val="24"/>
                <w:lang w:val="en-US" w:eastAsia="zh-CN"/>
              </w:rPr>
              <w:t>所提供的内容每项完善且充分可行的得1分，合计得5分</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对以上内容理解基本有误，系统整体设计方案不合理的和未提供的</w:t>
            </w:r>
            <w:r>
              <w:rPr>
                <w:rFonts w:hint="eastAsia" w:ascii="仿宋_GB2312" w:hAnsi="仿宋_GB2312" w:eastAsia="仿宋_GB2312" w:cs="仿宋_GB2312"/>
                <w:sz w:val="24"/>
                <w:szCs w:val="24"/>
                <w:lang w:val="en-US" w:eastAsia="zh-CN"/>
              </w:rPr>
              <w:t>不得分</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362" w:type="dxa"/>
            <w:vMerge w:val="restart"/>
            <w:tcBorders>
              <w:top w:val="double" w:color="auto" w:sz="4" w:space="0"/>
              <w:left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商务部分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A3)</w:t>
            </w:r>
          </w:p>
        </w:tc>
        <w:tc>
          <w:tcPr>
            <w:tcW w:w="1180" w:type="dxa"/>
            <w:tcBorders>
              <w:top w:val="double" w:color="auto" w:sz="4"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企业资质及信誉</w:t>
            </w:r>
          </w:p>
        </w:tc>
        <w:tc>
          <w:tcPr>
            <w:tcW w:w="709"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5856" w:type="dxa"/>
            <w:tcBorders>
              <w:top w:val="double" w:color="auto" w:sz="4" w:space="0"/>
              <w:left w:val="single" w:color="auto" w:sz="6"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对企业所获取的证书进行评分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（1）提供信息安全管理体系认证证书。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（2）信息技术服务管理体系认证证书。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（3）ITSS信息技术服务咨询设计标准符合性证书。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（4）具有住建部门颁发的电子通信广电行业（有线通信、无线通信）专业甲级设计资质。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（5）供应商具有工程咨询协会颁发的工程咨询单位甲级资信证书（电子、信息工程）。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以上证书每提供一个得8分，本项合计得40分，未提供或提供的证书不在有效期内的不得分。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362" w:type="dxa"/>
            <w:vMerge w:val="continue"/>
            <w:tcBorders>
              <w:left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业绩要求</w:t>
            </w:r>
          </w:p>
        </w:tc>
        <w:tc>
          <w:tcPr>
            <w:tcW w:w="709" w:type="dxa"/>
            <w:tcBorders>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5856" w:type="dxa"/>
            <w:tcBorders>
              <w:top w:val="single" w:color="auto" w:sz="4"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r>
              <w:rPr>
                <w:rFonts w:hint="eastAsia" w:ascii="仿宋_GB2312" w:hAnsi="仿宋_GB2312" w:eastAsia="仿宋_GB2312" w:cs="仿宋_GB2312"/>
                <w:sz w:val="24"/>
                <w:szCs w:val="24"/>
                <w:lang w:val="en-US" w:eastAsia="zh-CN"/>
              </w:rPr>
              <w:t>在</w:t>
            </w:r>
            <w:r>
              <w:rPr>
                <w:rFonts w:hint="eastAsia" w:ascii="仿宋_GB2312" w:hAnsi="仿宋_GB2312" w:eastAsia="仿宋_GB2312" w:cs="仿宋_GB2312"/>
                <w:sz w:val="24"/>
                <w:szCs w:val="24"/>
              </w:rPr>
              <w:t>2020年以来</w:t>
            </w:r>
            <w:r>
              <w:rPr>
                <w:rFonts w:hint="eastAsia" w:ascii="仿宋_GB2312" w:hAnsi="仿宋_GB2312" w:eastAsia="仿宋_GB2312" w:cs="仿宋_GB2312"/>
                <w:sz w:val="24"/>
                <w:szCs w:val="24"/>
                <w:lang w:val="en-US" w:eastAsia="zh-CN"/>
              </w:rPr>
              <w:t>有类似信息化项目设计经验</w:t>
            </w:r>
            <w:r>
              <w:rPr>
                <w:rFonts w:hint="eastAsia" w:ascii="仿宋_GB2312" w:hAnsi="仿宋_GB2312" w:eastAsia="仿宋_GB2312" w:cs="仿宋_GB2312"/>
                <w:sz w:val="24"/>
                <w:szCs w:val="24"/>
              </w:rPr>
              <w:t>（提供项目合同</w:t>
            </w:r>
            <w:r>
              <w:rPr>
                <w:rFonts w:hint="eastAsia" w:ascii="仿宋_GB2312" w:hAnsi="仿宋_GB2312" w:eastAsia="仿宋_GB2312" w:cs="仿宋_GB2312"/>
                <w:sz w:val="24"/>
                <w:szCs w:val="24"/>
                <w:lang w:val="en-US" w:eastAsia="zh-CN"/>
              </w:rPr>
              <w:t>关键页</w:t>
            </w:r>
            <w:r>
              <w:rPr>
                <w:rFonts w:hint="eastAsia" w:ascii="仿宋_GB2312" w:hAnsi="仿宋_GB2312" w:eastAsia="仿宋_GB2312" w:cs="仿宋_GB2312"/>
                <w:sz w:val="24"/>
                <w:szCs w:val="24"/>
              </w:rPr>
              <w:t>，复印件加盖公章）。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每提供一个合同得4分，最多得20分</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（投标人提供上述资料复印件或相关证明材料）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362" w:type="dxa"/>
            <w:vMerge w:val="continue"/>
            <w:tcBorders>
              <w:left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人员资质</w:t>
            </w:r>
          </w:p>
        </w:tc>
        <w:tc>
          <w:tcPr>
            <w:tcW w:w="709" w:type="dxa"/>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p>
        </w:tc>
        <w:tc>
          <w:tcPr>
            <w:tcW w:w="5856" w:type="dxa"/>
            <w:tcBorders>
              <w:top w:val="single" w:color="auto" w:sz="4" w:space="0"/>
              <w:left w:val="single" w:color="auto" w:sz="6"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1.项目负责人：拟投入的项目负责人具有通信工程或电子信息工程相关专业正高级职称、注册咨询工程师证书、</w:t>
            </w:r>
            <w:r>
              <w:rPr>
                <w:rFonts w:hint="eastAsia" w:ascii="仿宋_GB2312" w:hAnsi="仿宋_GB2312" w:eastAsia="仿宋_GB2312" w:cs="仿宋_GB2312"/>
                <w:sz w:val="24"/>
                <w:szCs w:val="24"/>
                <w:lang w:val="en-US" w:eastAsia="zh-CN"/>
              </w:rPr>
              <w:t>高级</w:t>
            </w:r>
            <w:r>
              <w:rPr>
                <w:rFonts w:hint="eastAsia" w:ascii="仿宋_GB2312" w:hAnsi="仿宋_GB2312" w:eastAsia="仿宋_GB2312" w:cs="仿宋_GB2312"/>
                <w:sz w:val="24"/>
                <w:szCs w:val="24"/>
              </w:rPr>
              <w:t>信息系统项目管理师证书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一级建造师（通信与广电工程）以及信息安全保障人员认证证书</w:t>
            </w:r>
            <w:r>
              <w:rPr>
                <w:rFonts w:hint="eastAsia" w:ascii="仿宋_GB2312" w:hAnsi="仿宋_GB2312" w:eastAsia="仿宋_GB2312" w:cs="仿宋_GB2312"/>
                <w:sz w:val="24"/>
                <w:szCs w:val="24"/>
              </w:rPr>
              <w:t>具备其中一项得</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本项最多</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2.技术负责人：拟投入的技术负责人员具有通信工程或电子信息工程相关专业高级及以上职称证书、注册咨询工程师、一级造价师，具备其中一项得2分，本项最多</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val="en-US" w:eastAsia="zh-CN"/>
              </w:rPr>
              <w:t>团队</w:t>
            </w:r>
            <w:r>
              <w:rPr>
                <w:rFonts w:hint="eastAsia" w:ascii="仿宋_GB2312" w:hAnsi="仿宋_GB2312" w:eastAsia="仿宋_GB2312" w:cs="仿宋_GB2312"/>
                <w:sz w:val="24"/>
                <w:szCs w:val="24"/>
              </w:rPr>
              <w:t>其他人员：项目团队成员具有通信工程或电子信息工程</w:t>
            </w: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专业高级及以上职称或注册咨询工程师证书，每提供1个得</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rPr>
              <w:t>本项</w:t>
            </w:r>
            <w:r>
              <w:rPr>
                <w:rFonts w:hint="eastAsia" w:ascii="仿宋_GB2312" w:hAnsi="仿宋_GB2312" w:eastAsia="仿宋_GB2312" w:cs="仿宋_GB2312"/>
                <w:sz w:val="24"/>
                <w:szCs w:val="24"/>
              </w:rPr>
              <w:t>最多</w:t>
            </w:r>
            <w:r>
              <w:rPr>
                <w:rFonts w:hint="eastAsia" w:ascii="仿宋_GB2312" w:hAnsi="仿宋_GB2312" w:eastAsia="仿宋_GB2312" w:cs="仿宋_GB2312"/>
                <w:sz w:val="24"/>
                <w:szCs w:val="24"/>
                <w:lang w:val="en-US" w:eastAsia="zh-CN"/>
              </w:rPr>
              <w:t>得9</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62" w:type="dxa"/>
            <w:vMerge w:val="continue"/>
            <w:tcBorders>
              <w:left w:val="doub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p>
        </w:tc>
        <w:tc>
          <w:tcPr>
            <w:tcW w:w="1180"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服务质量保障</w:t>
            </w:r>
          </w:p>
        </w:tc>
        <w:tc>
          <w:tcPr>
            <w:tcW w:w="709" w:type="dxa"/>
            <w:tcBorders>
              <w:top w:val="single" w:color="auto" w:sz="4" w:space="0"/>
              <w:left w:val="sing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0</w:t>
            </w:r>
          </w:p>
        </w:tc>
        <w:tc>
          <w:tcPr>
            <w:tcW w:w="5856" w:type="dxa"/>
            <w:tcBorders>
              <w:top w:val="single" w:color="auto" w:sz="4" w:space="0"/>
              <w:left w:val="single" w:color="auto" w:sz="6"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在西藏自治区内设有办事机构或者分公司</w:t>
            </w:r>
            <w:r>
              <w:rPr>
                <w:rFonts w:hint="eastAsia" w:ascii="仿宋_GB2312" w:hAnsi="仿宋_GB2312" w:eastAsia="仿宋_GB2312" w:cs="仿宋_GB2312"/>
                <w:sz w:val="24"/>
                <w:szCs w:val="24"/>
                <w:lang w:val="en-US" w:eastAsia="zh-CN"/>
              </w:rPr>
              <w:t>或提供承诺中标后在本地设立常驻员工进行项目咨询设计的</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分（提供相关证明材料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若提供承诺，格式自拟</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提供项目质量保障措施、进度保障措施，每一项得2.5分，本项最多得5分，不提供不得分</w:t>
            </w:r>
            <w:r>
              <w:rPr>
                <w:rFonts w:hint="eastAsia" w:ascii="仿宋_GB2312" w:hAnsi="仿宋_GB2312" w:eastAsia="仿宋_GB2312" w:cs="仿宋_GB2312"/>
                <w:sz w:val="24"/>
                <w:szCs w:val="24"/>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39766"/>
    <w:multiLevelType w:val="multilevel"/>
    <w:tmpl w:val="D8A39766"/>
    <w:lvl w:ilvl="0" w:tentative="0">
      <w:start w:val="1"/>
      <w:numFmt w:val="chineseCounting"/>
      <w:pStyle w:val="4"/>
      <w:suff w:val="space"/>
      <w:lvlText w:val="%1"/>
      <w:lvlJc w:val="left"/>
      <w:pPr>
        <w:tabs>
          <w:tab w:val="left" w:pos="0"/>
        </w:tabs>
        <w:ind w:left="432" w:hanging="432"/>
      </w:pPr>
      <w:rPr>
        <w:rFonts w:hint="eastAsia" w:ascii="宋体" w:hAnsi="宋体" w:eastAsia="宋体" w:cs="宋体"/>
      </w:rPr>
    </w:lvl>
    <w:lvl w:ilvl="1" w:tentative="0">
      <w:start w:val="1"/>
      <w:numFmt w:val="decimal"/>
      <w:pStyle w:val="5"/>
      <w:isLgl/>
      <w:lvlText w:val="%1.%2."/>
      <w:lvlJc w:val="left"/>
      <w:pPr>
        <w:tabs>
          <w:tab w:val="left" w:pos="420"/>
        </w:tabs>
        <w:ind w:left="575" w:hanging="575"/>
      </w:pPr>
      <w:rPr>
        <w:rFonts w:hint="eastAsia" w:ascii="宋体" w:hAnsi="宋体" w:eastAsia="宋体" w:cs="宋体"/>
      </w:rPr>
    </w:lvl>
    <w:lvl w:ilvl="2" w:tentative="0">
      <w:start w:val="1"/>
      <w:numFmt w:val="decimal"/>
      <w:pStyle w:val="6"/>
      <w:isLgl/>
      <w:lvlText w:val="%1.%2.%3."/>
      <w:lvlJc w:val="left"/>
      <w:pPr>
        <w:ind w:left="720" w:hanging="720"/>
      </w:pPr>
      <w:rPr>
        <w:rFonts w:hint="eastAsia" w:ascii="宋体" w:hAnsi="宋体" w:eastAsia="宋体" w:cs="宋体"/>
      </w:rPr>
    </w:lvl>
    <w:lvl w:ilvl="3" w:tentative="0">
      <w:start w:val="1"/>
      <w:numFmt w:val="decimal"/>
      <w:pStyle w:val="7"/>
      <w:isLgl/>
      <w:lvlText w:val="%1.%2.%3.%4."/>
      <w:lvlJc w:val="left"/>
      <w:pPr>
        <w:ind w:left="864" w:hanging="864"/>
      </w:pPr>
      <w:rPr>
        <w:rFonts w:hint="eastAsia" w:ascii="宋体" w:hAnsi="宋体" w:eastAsia="宋体" w:cs="宋体"/>
      </w:rPr>
    </w:lvl>
    <w:lvl w:ilvl="4" w:tentative="0">
      <w:start w:val="1"/>
      <w:numFmt w:val="decimal"/>
      <w:pStyle w:val="8"/>
      <w:isLgl/>
      <w:lvlText w:val="%1.%2.%3.%4.%5."/>
      <w:lvlJc w:val="left"/>
      <w:pPr>
        <w:ind w:left="1008" w:hanging="1008"/>
      </w:pPr>
      <w:rPr>
        <w:rFonts w:hint="eastAsia" w:ascii="宋体" w:hAnsi="宋体" w:eastAsia="宋体" w:cs="宋体"/>
      </w:rPr>
    </w:lvl>
    <w:lvl w:ilvl="5" w:tentative="0">
      <w:start w:val="1"/>
      <w:numFmt w:val="decimal"/>
      <w:pStyle w:val="9"/>
      <w:isLgl/>
      <w:lvlText w:val="%1.%2.%3.%4.%5.%6."/>
      <w:lvlJc w:val="left"/>
      <w:pPr>
        <w:ind w:left="1151" w:hanging="1151"/>
      </w:pPr>
      <w:rPr>
        <w:rFonts w:hint="eastAsia" w:ascii="宋体" w:hAnsi="宋体" w:eastAsia="宋体" w:cs="宋体"/>
      </w:rPr>
    </w:lvl>
    <w:lvl w:ilvl="6" w:tentative="0">
      <w:start w:val="1"/>
      <w:numFmt w:val="decimal"/>
      <w:pStyle w:val="10"/>
      <w:isLgl/>
      <w:lvlText w:val="%1.%2.%3.%4.%5.%6.%7."/>
      <w:lvlJc w:val="left"/>
      <w:pPr>
        <w:ind w:left="1296" w:hanging="1296"/>
      </w:pPr>
      <w:rPr>
        <w:rFonts w:hint="eastAsia" w:ascii="宋体" w:hAnsi="宋体" w:eastAsia="宋体" w:cs="宋体"/>
      </w:rPr>
    </w:lvl>
    <w:lvl w:ilvl="7" w:tentative="0">
      <w:start w:val="1"/>
      <w:numFmt w:val="decimal"/>
      <w:pStyle w:val="11"/>
      <w:isLgl/>
      <w:lvlText w:val="%1.%2.%3.%4.%5.%6.%7.%8."/>
      <w:lvlJc w:val="left"/>
      <w:pPr>
        <w:ind w:left="1440" w:hanging="1440"/>
      </w:pPr>
      <w:rPr>
        <w:rFonts w:hint="eastAsia" w:ascii="宋体" w:hAnsi="宋体" w:eastAsia="宋体" w:cs="宋体"/>
      </w:rPr>
    </w:lvl>
    <w:lvl w:ilvl="8" w:tentative="0">
      <w:start w:val="1"/>
      <w:numFmt w:val="decimal"/>
      <w:pStyle w:val="12"/>
      <w:isLgl/>
      <w:lvlText w:val="%1.%2.%3.%4.%5.%6.%7.%8.%9."/>
      <w:lvlJc w:val="left"/>
      <w:pPr>
        <w:ind w:left="1583" w:hanging="1583"/>
      </w:pPr>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wNmUzY2Y1NzQxNmFmYzhmYzhkYzMzOWMyNTI3MTkifQ=="/>
  </w:docVars>
  <w:rsids>
    <w:rsidRoot w:val="006A6AE9"/>
    <w:rsid w:val="00026851"/>
    <w:rsid w:val="000B5180"/>
    <w:rsid w:val="001038CB"/>
    <w:rsid w:val="00326735"/>
    <w:rsid w:val="003B5BF6"/>
    <w:rsid w:val="005A3330"/>
    <w:rsid w:val="00613CC5"/>
    <w:rsid w:val="006A6AE9"/>
    <w:rsid w:val="00743A90"/>
    <w:rsid w:val="00774017"/>
    <w:rsid w:val="00C44610"/>
    <w:rsid w:val="00D239B8"/>
    <w:rsid w:val="00D810CC"/>
    <w:rsid w:val="00F74114"/>
    <w:rsid w:val="1E5DB068"/>
    <w:rsid w:val="200B3333"/>
    <w:rsid w:val="321C7E45"/>
    <w:rsid w:val="3897AE70"/>
    <w:rsid w:val="3A0F6191"/>
    <w:rsid w:val="3DAF5057"/>
    <w:rsid w:val="4B350391"/>
    <w:rsid w:val="5BDC31E1"/>
    <w:rsid w:val="5D9F6D46"/>
    <w:rsid w:val="6CD62EF8"/>
    <w:rsid w:val="6D197096"/>
    <w:rsid w:val="742D1A0C"/>
    <w:rsid w:val="777F9F61"/>
    <w:rsid w:val="7AEA2F10"/>
    <w:rsid w:val="7BF65F71"/>
    <w:rsid w:val="7D3DDE93"/>
    <w:rsid w:val="7DFFFC8D"/>
    <w:rsid w:val="7ED72E57"/>
    <w:rsid w:val="7F4D0AFD"/>
    <w:rsid w:val="7F7F6CD3"/>
    <w:rsid w:val="7F99EA0C"/>
    <w:rsid w:val="7FBA573E"/>
    <w:rsid w:val="7FDF8FA2"/>
    <w:rsid w:val="7FF741C3"/>
    <w:rsid w:val="96E978BA"/>
    <w:rsid w:val="AF3F832C"/>
    <w:rsid w:val="BBFAF38A"/>
    <w:rsid w:val="C7EF8F05"/>
    <w:rsid w:val="DBF7EA47"/>
    <w:rsid w:val="EBFDF70F"/>
    <w:rsid w:val="F7F61F81"/>
    <w:rsid w:val="F7FB2486"/>
    <w:rsid w:val="FFD602F8"/>
    <w:rsid w:val="FFFF9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2"/>
    <w:qFormat/>
    <w:uiPriority w:val="0"/>
    <w:pPr>
      <w:keepNext/>
      <w:keepLines/>
      <w:numPr>
        <w:ilvl w:val="0"/>
        <w:numId w:val="1"/>
      </w:numPr>
      <w:spacing w:before="340" w:after="330" w:line="576" w:lineRule="auto"/>
      <w:outlineLvl w:val="0"/>
    </w:pPr>
    <w:rPr>
      <w:b/>
      <w:kern w:val="44"/>
      <w:sz w:val="44"/>
    </w:rPr>
  </w:style>
  <w:style w:type="paragraph" w:styleId="5">
    <w:name w:val="heading 2"/>
    <w:basedOn w:val="1"/>
    <w:next w:val="1"/>
    <w:link w:val="23"/>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6">
    <w:name w:val="heading 3"/>
    <w:basedOn w:val="1"/>
    <w:next w:val="1"/>
    <w:link w:val="24"/>
    <w:unhideWhenUsed/>
    <w:qFormat/>
    <w:uiPriority w:val="0"/>
    <w:pPr>
      <w:keepNext/>
      <w:keepLines/>
      <w:numPr>
        <w:ilvl w:val="2"/>
        <w:numId w:val="1"/>
      </w:numPr>
      <w:tabs>
        <w:tab w:val="left" w:pos="0"/>
      </w:tabs>
      <w:spacing w:before="260" w:after="260" w:line="413" w:lineRule="auto"/>
      <w:ind w:firstLine="0" w:firstLineChars="0"/>
      <w:outlineLvl w:val="2"/>
    </w:pPr>
    <w:rPr>
      <w:b/>
      <w:sz w:val="32"/>
    </w:rPr>
  </w:style>
  <w:style w:type="paragraph" w:styleId="7">
    <w:name w:val="heading 4"/>
    <w:basedOn w:val="1"/>
    <w:next w:val="1"/>
    <w:link w:val="25"/>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8">
    <w:name w:val="heading 5"/>
    <w:basedOn w:val="1"/>
    <w:next w:val="1"/>
    <w:link w:val="26"/>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link w:val="27"/>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link w:val="28"/>
    <w:unhideWhenUsed/>
    <w:qFormat/>
    <w:uiPriority w:val="0"/>
    <w:pPr>
      <w:keepNext/>
      <w:keepLines/>
      <w:numPr>
        <w:ilvl w:val="6"/>
        <w:numId w:val="1"/>
      </w:numPr>
      <w:spacing w:before="240" w:after="64" w:line="317" w:lineRule="auto"/>
      <w:outlineLvl w:val="6"/>
    </w:pPr>
    <w:rPr>
      <w:b/>
      <w:sz w:val="24"/>
    </w:rPr>
  </w:style>
  <w:style w:type="paragraph" w:styleId="11">
    <w:name w:val="heading 8"/>
    <w:basedOn w:val="1"/>
    <w:next w:val="1"/>
    <w:link w:val="29"/>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link w:val="30"/>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13">
    <w:name w:val="footer"/>
    <w:basedOn w:val="1"/>
    <w:next w:val="1"/>
    <w:link w:val="21"/>
    <w:unhideWhenUsed/>
    <w:qFormat/>
    <w:uiPriority w:val="0"/>
    <w:pPr>
      <w:tabs>
        <w:tab w:val="center" w:pos="4153"/>
        <w:tab w:val="right" w:pos="8306"/>
      </w:tabs>
      <w:spacing w:line="240" w:lineRule="atLeast"/>
    </w:pPr>
    <w:rPr>
      <w:sz w:val="18"/>
      <w:szCs w:val="18"/>
    </w:rPr>
  </w:style>
  <w:style w:type="paragraph" w:styleId="14">
    <w:name w:val="header"/>
    <w:basedOn w:val="1"/>
    <w:link w:val="20"/>
    <w:unhideWhenUsed/>
    <w:qFormat/>
    <w:uiPriority w:val="0"/>
    <w:pPr>
      <w:tabs>
        <w:tab w:val="center" w:pos="4153"/>
        <w:tab w:val="right" w:pos="8306"/>
      </w:tabs>
      <w:spacing w:line="240" w:lineRule="atLeast"/>
      <w:jc w:val="center"/>
    </w:pPr>
    <w:rPr>
      <w:sz w:val="18"/>
      <w:szCs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spacing w:line="240" w:lineRule="auto"/>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customStyle="1" w:styleId="20">
    <w:name w:val="页眉 字符"/>
    <w:basedOn w:val="18"/>
    <w:link w:val="14"/>
    <w:qFormat/>
    <w:uiPriority w:val="0"/>
    <w:rPr>
      <w:sz w:val="18"/>
      <w:szCs w:val="18"/>
    </w:rPr>
  </w:style>
  <w:style w:type="character" w:customStyle="1" w:styleId="21">
    <w:name w:val="页脚 字符"/>
    <w:basedOn w:val="18"/>
    <w:link w:val="13"/>
    <w:qFormat/>
    <w:uiPriority w:val="0"/>
    <w:rPr>
      <w:sz w:val="18"/>
      <w:szCs w:val="18"/>
    </w:rPr>
  </w:style>
  <w:style w:type="character" w:customStyle="1" w:styleId="22">
    <w:name w:val="标题 1 字符"/>
    <w:basedOn w:val="18"/>
    <w:link w:val="4"/>
    <w:qFormat/>
    <w:uiPriority w:val="0"/>
    <w:rPr>
      <w:b/>
      <w:kern w:val="44"/>
      <w:sz w:val="44"/>
      <w:szCs w:val="24"/>
    </w:rPr>
  </w:style>
  <w:style w:type="character" w:customStyle="1" w:styleId="23">
    <w:name w:val="标题 2 字符"/>
    <w:basedOn w:val="18"/>
    <w:link w:val="5"/>
    <w:qFormat/>
    <w:uiPriority w:val="0"/>
    <w:rPr>
      <w:rFonts w:ascii="Arial" w:hAnsi="Arial" w:eastAsia="黑体"/>
      <w:b/>
      <w:sz w:val="32"/>
      <w:szCs w:val="24"/>
    </w:rPr>
  </w:style>
  <w:style w:type="character" w:customStyle="1" w:styleId="24">
    <w:name w:val="标题 3 字符"/>
    <w:basedOn w:val="18"/>
    <w:link w:val="6"/>
    <w:qFormat/>
    <w:uiPriority w:val="0"/>
    <w:rPr>
      <w:b/>
      <w:sz w:val="32"/>
      <w:szCs w:val="24"/>
    </w:rPr>
  </w:style>
  <w:style w:type="character" w:customStyle="1" w:styleId="25">
    <w:name w:val="标题 4 字符"/>
    <w:basedOn w:val="18"/>
    <w:link w:val="7"/>
    <w:qFormat/>
    <w:uiPriority w:val="0"/>
    <w:rPr>
      <w:rFonts w:ascii="Arial" w:hAnsi="Arial" w:eastAsia="黑体"/>
      <w:b/>
      <w:sz w:val="28"/>
      <w:szCs w:val="24"/>
    </w:rPr>
  </w:style>
  <w:style w:type="character" w:customStyle="1" w:styleId="26">
    <w:name w:val="标题 5 字符"/>
    <w:basedOn w:val="18"/>
    <w:link w:val="8"/>
    <w:qFormat/>
    <w:uiPriority w:val="0"/>
    <w:rPr>
      <w:b/>
      <w:sz w:val="28"/>
      <w:szCs w:val="24"/>
    </w:rPr>
  </w:style>
  <w:style w:type="character" w:customStyle="1" w:styleId="27">
    <w:name w:val="标题 6 字符"/>
    <w:basedOn w:val="18"/>
    <w:link w:val="9"/>
    <w:qFormat/>
    <w:uiPriority w:val="0"/>
    <w:rPr>
      <w:rFonts w:ascii="Arial" w:hAnsi="Arial" w:eastAsia="黑体"/>
      <w:b/>
      <w:sz w:val="24"/>
      <w:szCs w:val="24"/>
    </w:rPr>
  </w:style>
  <w:style w:type="character" w:customStyle="1" w:styleId="28">
    <w:name w:val="标题 7 字符"/>
    <w:basedOn w:val="18"/>
    <w:link w:val="10"/>
    <w:qFormat/>
    <w:uiPriority w:val="0"/>
    <w:rPr>
      <w:b/>
      <w:sz w:val="24"/>
      <w:szCs w:val="24"/>
    </w:rPr>
  </w:style>
  <w:style w:type="character" w:customStyle="1" w:styleId="29">
    <w:name w:val="标题 8 字符"/>
    <w:basedOn w:val="18"/>
    <w:link w:val="11"/>
    <w:qFormat/>
    <w:uiPriority w:val="0"/>
    <w:rPr>
      <w:rFonts w:ascii="Arial" w:hAnsi="Arial" w:eastAsia="黑体"/>
      <w:sz w:val="24"/>
      <w:szCs w:val="24"/>
    </w:rPr>
  </w:style>
  <w:style w:type="character" w:customStyle="1" w:styleId="30">
    <w:name w:val="标题 9 字符"/>
    <w:basedOn w:val="18"/>
    <w:link w:val="12"/>
    <w:qFormat/>
    <w:uiPriority w:val="0"/>
    <w:rPr>
      <w:rFonts w:ascii="Arial" w:hAnsi="Arial" w:eastAsia="黑体"/>
      <w:szCs w:val="24"/>
    </w:rPr>
  </w:style>
  <w:style w:type="table" w:customStyle="1" w:styleId="31">
    <w:name w:val="Table Normal"/>
    <w:semiHidden/>
    <w:unhideWhenUsed/>
    <w:qFormat/>
    <w:uiPriority w:val="2"/>
    <w:pPr>
      <w:widowControl w:val="0"/>
      <w:spacing w:line="240" w:lineRule="auto"/>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536</Words>
  <Characters>3056</Characters>
  <Lines>25</Lines>
  <Paragraphs>7</Paragraphs>
  <TotalTime>10</TotalTime>
  <ScaleCrop>false</ScaleCrop>
  <LinksUpToDate>false</LinksUpToDate>
  <CharactersWithSpaces>3585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2023-08-10T19:30:00Z</dcterms:created>
  <dc:creator>陈 垚</dc:creator>
  <cp:lastModifiedBy>莫忘初衷</cp:lastModifiedBy>
  <cp:lastPrinted>2023-09-22T10:30:42Z</cp:lastPrinted>
  <dcterms:modified xsi:type="dcterms:W3CDTF">2023-09-22T10:40:05Z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A9FA272E7131476F8549626E6620C48C_13</vt:lpwstr>
  </property>
</Properties>
</file>